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Calibri" w:hAnsi="Calibri" w:eastAsia="Times New Roman" w:cs="Times New Roman"/>
          <w:lang w:val="en-US"/>
        </w:rPr>
      </w:pP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Приложение 1</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 xml:space="preserve">к Решению Совета </w:t>
      </w:r>
    </w:p>
    <w:p>
      <w:pPr>
        <w:spacing w:after="0" w:line="240" w:lineRule="auto"/>
        <w:jc w:val="right"/>
        <w:rPr>
          <w:rFonts w:ascii="Times New Roman" w:hAnsi="Times New Roman" w:eastAsia="Times New Roman" w:cs="Times New Roman"/>
          <w:bCs/>
          <w:sz w:val="20"/>
          <w:szCs w:val="20"/>
        </w:rPr>
      </w:pPr>
      <w:r>
        <w:rPr>
          <w:rFonts w:ascii="Times New Roman" w:hAnsi="Times New Roman" w:eastAsia="Times New Roman" w:cs="Times New Roman"/>
          <w:bCs/>
          <w:sz w:val="20"/>
          <w:szCs w:val="20"/>
        </w:rPr>
        <w:t>Заволжского муниципального района</w:t>
      </w:r>
    </w:p>
    <w:p>
      <w:pPr>
        <w:wordWrap w:val="0"/>
        <w:jc w:val="right"/>
        <w:rPr>
          <w:rFonts w:ascii="Calibri" w:hAnsi="Calibri" w:eastAsia="Times New Roman" w:cs="Times New Roman"/>
        </w:rPr>
      </w:pPr>
      <w:r>
        <w:rPr>
          <w:rFonts w:ascii="Times New Roman" w:hAnsi="Times New Roman" w:eastAsia="Times New Roman" w:cs="Times New Roman"/>
          <w:bCs/>
          <w:sz w:val="20"/>
          <w:szCs w:val="20"/>
          <w:lang w:val="ru-RU"/>
        </w:rPr>
        <w:t>о</w:t>
      </w:r>
      <w:r>
        <w:rPr>
          <w:rFonts w:ascii="Times New Roman" w:hAnsi="Times New Roman" w:eastAsia="Times New Roman" w:cs="Times New Roman"/>
          <w:bCs/>
          <w:sz w:val="20"/>
          <w:szCs w:val="20"/>
        </w:rPr>
        <w:t>т</w:t>
      </w:r>
      <w:r>
        <w:rPr>
          <w:rFonts w:ascii="Times New Roman" w:hAnsi="Times New Roman" w:eastAsia="Times New Roman" w:cs="Times New Roman"/>
          <w:bCs/>
          <w:sz w:val="20"/>
          <w:szCs w:val="20"/>
          <w:lang w:val="ru-RU"/>
        </w:rPr>
        <w:t xml:space="preserve"> 26.12.2017 </w:t>
      </w:r>
      <w:r>
        <w:rPr>
          <w:rFonts w:ascii="Times New Roman" w:hAnsi="Times New Roman" w:eastAsia="Times New Roman" w:cs="Times New Roman"/>
          <w:bCs/>
          <w:sz w:val="20"/>
          <w:szCs w:val="20"/>
        </w:rPr>
        <w:t>№</w:t>
      </w:r>
      <w:r>
        <w:rPr>
          <w:rFonts w:ascii="Times New Roman" w:hAnsi="Times New Roman" w:eastAsia="Times New Roman" w:cs="Times New Roman"/>
          <w:bCs/>
          <w:sz w:val="20"/>
          <w:szCs w:val="20"/>
          <w:lang w:val="ru-RU"/>
        </w:rPr>
        <w:t xml:space="preserve"> 61</w:t>
      </w:r>
    </w:p>
    <w:p>
      <w:pPr>
        <w:rPr>
          <w:rFonts w:ascii="Calibri" w:hAnsi="Calibri" w:eastAsia="Times New Roman" w:cs="Times New Roman"/>
        </w:rPr>
      </w:pPr>
    </w:p>
    <w:p>
      <w:pPr>
        <w:tabs>
          <w:tab w:val="left" w:pos="3877"/>
        </w:tabs>
        <w:jc w:val="center"/>
        <w:rPr>
          <w:rFonts w:ascii="Times New Roman" w:hAnsi="Times New Roman" w:eastAsia="Times New Roman" w:cs="Times New Roman"/>
          <w:sz w:val="36"/>
          <w:szCs w:val="36"/>
        </w:rPr>
      </w:pPr>
      <w:r>
        <w:rPr>
          <w:rFonts w:ascii="Times New Roman" w:hAnsi="Times New Roman" w:eastAsia="Times New Roman" w:cs="Times New Roman"/>
          <w:sz w:val="36"/>
          <w:szCs w:val="36"/>
        </w:rPr>
        <w:t>Генеральный план Дмитриевского сельского поселения Заволжского муниципального района</w:t>
      </w: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p>
    <w:p>
      <w:pPr>
        <w:rPr>
          <w:rFonts w:ascii="Calibri" w:hAnsi="Calibri" w:eastAsia="Times New Roman" w:cs="Times New Roman"/>
        </w:rPr>
      </w:pPr>
      <w:bookmarkStart w:id="67" w:name="_GoBack"/>
      <w:bookmarkEnd w:id="67"/>
    </w:p>
    <w:p>
      <w:pPr>
        <w:keepNext/>
        <w:keepLines/>
        <w:spacing w:before="480" w:after="0"/>
        <w:jc w:val="center"/>
        <w:rPr>
          <w:rFonts w:ascii="Times New Roman" w:hAnsi="Times New Roman" w:eastAsia="Times New Roman" w:cs="Times New Roman"/>
          <w:bCs/>
          <w:color w:val="365F91"/>
          <w:sz w:val="24"/>
          <w:szCs w:val="24"/>
        </w:rPr>
      </w:pPr>
      <w:r>
        <w:rPr>
          <w:rFonts w:ascii="Times New Roman" w:hAnsi="Times New Roman" w:eastAsia="Times New Roman" w:cs="Times New Roman"/>
          <w:b/>
          <w:bCs/>
          <w:sz w:val="24"/>
          <w:szCs w:val="24"/>
        </w:rPr>
        <w:t>СОДЕРЖАНИЕ</w:t>
      </w:r>
    </w:p>
    <w:p>
      <w:pPr>
        <w:ind w:left="284"/>
        <w:rPr>
          <w:rFonts w:ascii="Times New Roman" w:hAnsi="Times New Roman" w:eastAsia="Times New Roman" w:cs="Times New Roman"/>
          <w:lang w:eastAsia="ru-RU"/>
        </w:rPr>
      </w:pPr>
    </w:p>
    <w:p>
      <w:pPr>
        <w:tabs>
          <w:tab w:val="right" w:leader="dot" w:pos="9070"/>
        </w:tabs>
        <w:spacing w:after="100"/>
        <w:ind w:hanging="292"/>
        <w:rPr>
          <w:rFonts w:ascii="Times New Roman" w:hAnsi="Times New Roman" w:eastAsia="Times New Roman" w:cs="Times New Roman"/>
          <w:bCs/>
          <w:iCs/>
          <w:lang w:eastAsia="ar-SA"/>
        </w:rPr>
      </w:pPr>
      <w:r>
        <w:rPr>
          <w:rFonts w:ascii="Times New Roman" w:hAnsi="Times New Roman" w:eastAsia="Times New Roman" w:cs="Times New Roman"/>
          <w:bCs/>
          <w:iCs/>
          <w:lang w:eastAsia="ar-SA"/>
        </w:rPr>
        <w:t>Введение…………………………………………………………………………………………………….…6</w:t>
      </w:r>
    </w:p>
    <w:p>
      <w:pPr>
        <w:tabs>
          <w:tab w:val="right" w:leader="dot" w:pos="9070"/>
        </w:tabs>
        <w:spacing w:after="100"/>
        <w:ind w:hanging="292"/>
        <w:rPr>
          <w:rFonts w:ascii="Times New Roman" w:hAnsi="Times New Roman" w:eastAsia="Times New Roman" w:cs="Times New Roman"/>
          <w:bCs/>
          <w:iCs/>
          <w:lang w:eastAsia="ar-SA"/>
        </w:rPr>
      </w:pPr>
      <w:r>
        <w:rPr>
          <w:rFonts w:ascii="Times New Roman" w:hAnsi="Times New Roman" w:eastAsia="Times New Roman" w:cs="Times New Roman"/>
          <w:b/>
          <w:bCs/>
          <w:iCs/>
          <w:lang w:eastAsia="ar-SA"/>
        </w:rPr>
        <w:t xml:space="preserve"> 1. ЦЕЛИ И ЗАДАЧИ ПРОЕКТА. МЕТОДОЛОГИЧЕСКИЙ ПОДХОД</w:t>
      </w:r>
      <w:r>
        <w:rPr>
          <w:rFonts w:ascii="Times New Roman" w:hAnsi="Times New Roman" w:eastAsia="Times New Roman" w:cs="Times New Roman"/>
          <w:bCs/>
          <w:iCs/>
          <w:lang w:eastAsia="ar-SA"/>
        </w:rPr>
        <w:t>…………………………….7</w:t>
      </w:r>
    </w:p>
    <w:p>
      <w:pPr>
        <w:tabs>
          <w:tab w:val="right" w:leader="dot" w:pos="9070"/>
        </w:tabs>
        <w:spacing w:after="100"/>
        <w:ind w:hanging="292"/>
        <w:rPr>
          <w:rFonts w:ascii="Times New Roman" w:hAnsi="Times New Roman" w:eastAsia="Times New Roman" w:cs="Times New Roman"/>
          <w:bCs/>
          <w:iCs/>
          <w:lang w:eastAsia="ar-SA"/>
        </w:rPr>
      </w:pPr>
      <w:r>
        <w:rPr>
          <w:rFonts w:ascii="Times New Roman" w:hAnsi="Times New Roman" w:eastAsia="Times New Roman" w:cs="Times New Roman"/>
          <w:b/>
          <w:bCs/>
          <w:iCs/>
          <w:lang w:eastAsia="ar-SA"/>
        </w:rPr>
        <w:t xml:space="preserve"> 2. ОБОСНОВАНИЕ ПРОЕКТНЫХ ПРЕДЛОЖЕНИЙ</w:t>
      </w:r>
      <w:r>
        <w:rPr>
          <w:rFonts w:ascii="Times New Roman" w:hAnsi="Times New Roman" w:eastAsia="Times New Roman" w:cs="Times New Roman"/>
          <w:bCs/>
          <w:iCs/>
          <w:lang w:eastAsia="ar-SA"/>
        </w:rPr>
        <w:t xml:space="preserve"> ……………………..……………………….10   </w:t>
      </w:r>
    </w:p>
    <w:p>
      <w:pPr>
        <w:tabs>
          <w:tab w:val="right" w:leader="dot" w:pos="9070"/>
        </w:tabs>
        <w:spacing w:after="100"/>
        <w:rPr>
          <w:rFonts w:ascii="Times New Roman" w:hAnsi="Times New Roman" w:eastAsia="Times New Roman" w:cs="Times New Roman"/>
          <w:bCs/>
          <w:iCs/>
          <w:lang w:eastAsia="ar-SA"/>
        </w:rPr>
      </w:pPr>
      <w:r>
        <w:rPr>
          <w:rFonts w:ascii="Times New Roman" w:hAnsi="Times New Roman" w:eastAsia="Times New Roman" w:cs="Times New Roman"/>
          <w:bCs/>
          <w:iCs/>
          <w:lang w:eastAsia="ar-SA"/>
        </w:rPr>
        <w:t xml:space="preserve"> 2.1. ОБЩАЯ ЧАСТЬ……………………………………………………………………………….……10</w:t>
      </w:r>
    </w:p>
    <w:p>
      <w:pPr>
        <w:tabs>
          <w:tab w:val="right" w:leader="dot" w:pos="9070"/>
        </w:tabs>
        <w:spacing w:after="100"/>
        <w:ind w:left="426" w:hanging="360"/>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2.1.1. Общие сведения об объекте проектирования……………………………………………...…..10</w:t>
      </w:r>
    </w:p>
    <w:p>
      <w:pPr>
        <w:ind w:left="426"/>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2.1.2. Историко-культурное наследие…………………………………………………………….10</w:t>
      </w:r>
    </w:p>
    <w:p>
      <w:pPr>
        <w:ind w:left="284"/>
        <w:rPr>
          <w:rFonts w:ascii="Times New Roman" w:hAnsi="Times New Roman" w:eastAsia="Times New Roman" w:cs="Times New Roman"/>
          <w:lang w:eastAsia="ar-SA"/>
        </w:rPr>
      </w:pPr>
      <w:r>
        <w:rPr>
          <w:rFonts w:ascii="Times New Roman" w:hAnsi="Times New Roman" w:eastAsia="Times New Roman" w:cs="Times New Roman"/>
          <w:lang w:eastAsia="ar-SA"/>
        </w:rPr>
        <w:t xml:space="preserve"> 2.2. ЭКОНОМИКО-ГЕОГРАФИЧЕСКОЕ ПОЛОЖЕНИЕ И ФАКТОРЫ РАЗВИТИЯ..……….11</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2.3. ПРИРОДНЫЕ УСЛОВИЯ И РЕСУРСЫ………………………………………………………13</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2.3.1. Климатическая характеристика……………………………………………………………..13</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2.3.2. Гидрологическая характеристика. Ресурсы поверхностных вод…………………………14</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2.3.3. Минерально-сырьевые ресурсы и почвенный покров……………………………………..14</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2.3.4. Лесные ресурсы………………………………………………………………………………15</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2.3.5. Рельеф…………………………………………………………………………………………16</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2.3.6. Растительный покров………………………………………………………………………...17</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2.3.7. Животный мир………………………………………………………………………………..18</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2.3.8. Инженерно-строительные условия………………………………………………………….19</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2.3.9. Особо охраняемые природные территории………………………………………………...20</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2.4. ЭКОЛОГИЧЕСКОЕ СОСТОЯНИЕ…………………………………………………………….22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2.4.1.  Состояние воздушного бассейна…………………………………………………………...22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2.4.2. Состояние поверхностных и подземных вод. Рациональное использование водных объектов……………………………………………………………………………………………..23</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2.4.3. Состояние почвенного покрова……………………………………………………………..24</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2.5. СОЦИАЛЬНО-ЭКОНОМИЧЕСКАЯ СИТУАЦИЯ……………………………………………25</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2.5.1. Население и трудовые ресурсы. Положение в системе расселения….…………………...25</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2.5.2. Экономическая ситуация…………………………………………………………………….29</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2.5.3. Жилой фонд и жилое строительство………………………………………………………..32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2.5.4. Социальная инфраструктура и бытовое обслуживание населения……………………….33</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2.5.4.1. Учреждения образования………………………………………………………………34</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2.5.4.2. Учреждения здравоохранения и социального обеспечения…………………………34</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2.5.4.3. Учреждения культуры и искусства……………………………………………………34</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2.5.4.4. Физкультура и спорт……………………………………………………………………35</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2.5.4.5. Предприятия торговли, общественного питания и коммунально-бытового обслуживания……………………………………………………………………………………35</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2.5.4.6. Организация ритуальных услуг………………………………………………………..35</w:t>
      </w:r>
    </w:p>
    <w:p>
      <w:pPr>
        <w:widowControl w:val="0"/>
        <w:spacing w:after="80"/>
        <w:ind w:firstLine="284"/>
        <w:rPr>
          <w:rFonts w:ascii="Times New Roman" w:hAnsi="Times New Roman" w:eastAsia="Times New Roman" w:cs="Times New Roman"/>
          <w:lang w:eastAsia="ru-RU"/>
        </w:rPr>
      </w:pPr>
      <w:r>
        <w:rPr>
          <w:rFonts w:ascii="Times New Roman" w:hAnsi="Times New Roman" w:eastAsia="Times New Roman" w:cs="Times New Roman"/>
          <w:lang w:eastAsia="ru-RU"/>
        </w:rPr>
        <w:t>2.6. ОХРАНА ОБЪЕКТОВ ИСТОРИКО-КУЛЬТУРНОГО НАСЛЕДИЯ………………………...35</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2.7. ТРАНСПОРТНАЯ ИНФРАСТРУКТУРА ……………………………………………………..38</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2.8. ИНЖЕНЕРНАЯ ИНФРАСТРУКТУРА………………………………………………………...41</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2.8.1.  Водоснабжение и водоотведение…..………………………………………………………41</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2.8.2. Электроснабжение…………………………………………………………………………...42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2.8.3. Сетевое газоснабжение………………………………………………………………………42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2.8.4. Теплоснабжение……………………………………………………………………………...42</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2.8.5. Средства связи и коммуникации……………………………………………………………43</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2.8.6. Вывоз мусора и полигоны ТБО……………………………………………………………..43</w:t>
      </w:r>
    </w:p>
    <w:p>
      <w:pPr>
        <w:ind w:left="284"/>
        <w:rPr>
          <w:rFonts w:ascii="Times New Roman" w:hAnsi="Times New Roman" w:eastAsia="Calibri" w:cs="Times New Roman"/>
          <w:lang w:eastAsia="ru-RU"/>
        </w:rPr>
      </w:pPr>
      <w:r>
        <w:rPr>
          <w:rFonts w:ascii="Times New Roman" w:hAnsi="Times New Roman" w:eastAsia="Times New Roman" w:cs="Times New Roman"/>
          <w:lang w:eastAsia="ru-RU"/>
        </w:rPr>
        <w:t xml:space="preserve">2.9. </w:t>
      </w:r>
      <w:r>
        <w:rPr>
          <w:rFonts w:ascii="Times New Roman" w:hAnsi="Times New Roman" w:eastAsia="Calibri" w:cs="Times New Roman"/>
          <w:lang w:eastAsia="ru-RU"/>
        </w:rPr>
        <w:t>ФУНКЦИОНАЛЬНОЕ ЗОНИРОВАНИЕ И ПЛАНИРОВОЧНАЯ ОРГАНИЗАЦИЯ ТЕРРИТОРИИ………………………………………………………………………………………...45</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2.9.1. Концепция функционально-планировочного развития Дмитриевское сельского поселения……………………………………………………………………………………………45</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2.9.2. Планировочная структура…………………………………………………………………...47</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2.9.3. Предложения по размещению планируемых объектов капитального строительства…..48</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2.10. РИСК УЯЗВИМОСТИ ТЕРРИТОРИИ ОТ ПРИРОДНЫХ И ТЕХНОГЕННЫХ ЧРЕЗВЫЧАЙНЫХ СИТУАЦИЙ………………………………………………………………...….50</w:t>
      </w:r>
    </w:p>
    <w:p>
      <w:pPr>
        <w:ind w:left="284"/>
        <w:rPr>
          <w:rFonts w:ascii="Times New Roman" w:hAnsi="Times New Roman" w:eastAsia="Calibri" w:cs="Times New Roman"/>
          <w:lang w:eastAsia="ru-RU"/>
        </w:rPr>
      </w:pPr>
      <w:r>
        <w:rPr>
          <w:rFonts w:ascii="Times New Roman" w:hAnsi="Times New Roman" w:eastAsia="Times New Roman" w:cs="Times New Roman"/>
          <w:lang w:eastAsia="ru-RU"/>
        </w:rPr>
        <w:t xml:space="preserve">2.11. </w:t>
      </w:r>
      <w:r>
        <w:rPr>
          <w:rFonts w:ascii="Times New Roman" w:hAnsi="Times New Roman" w:eastAsia="Calibri" w:cs="Times New Roman"/>
          <w:lang w:eastAsia="ru-RU"/>
        </w:rPr>
        <w:t>ЗОНЫ С ОСОБЫМИ УСЛОВИЯМИ ИСПОЛЬЗОВАНИЯ ТЕРРИТОРИИ И ГРАДОСТРОИТЕЛЬНЫЕ ОГРАНИЧЕНИЯ……………………………………………………….53</w:t>
      </w:r>
    </w:p>
    <w:p>
      <w:pPr>
        <w:ind w:left="142"/>
        <w:rPr>
          <w:rFonts w:ascii="Times New Roman" w:hAnsi="Times New Roman" w:eastAsia="Times New Roman" w:cs="Times New Roman"/>
          <w:lang w:eastAsia="ru-RU"/>
        </w:rPr>
      </w:pPr>
      <w:r>
        <w:rPr>
          <w:rFonts w:ascii="Times New Roman" w:hAnsi="Times New Roman" w:eastAsia="Times New Roman" w:cs="Times New Roman"/>
          <w:b/>
          <w:lang w:eastAsia="ru-RU"/>
        </w:rPr>
        <w:t>3.</w:t>
      </w:r>
      <w:r>
        <w:rPr>
          <w:rFonts w:ascii="Times New Roman" w:hAnsi="Times New Roman" w:eastAsia="Calibri" w:cs="Times New Roman"/>
          <w:b/>
          <w:lang w:eastAsia="ru-RU"/>
        </w:rPr>
        <w:t xml:space="preserve"> </w:t>
      </w:r>
      <w:r>
        <w:rPr>
          <w:rFonts w:ascii="Times New Roman" w:hAnsi="Times New Roman" w:eastAsia="Times New Roman" w:cs="Times New Roman"/>
          <w:b/>
          <w:lang w:eastAsia="ru-RU"/>
        </w:rPr>
        <w:t>ПРОЕКТНЫЕ РЕШЕНИЯ</w:t>
      </w:r>
      <w:r>
        <w:rPr>
          <w:rFonts w:ascii="Times New Roman" w:hAnsi="Times New Roman" w:eastAsia="Times New Roman" w:cs="Times New Roman"/>
          <w:lang w:eastAsia="ru-RU"/>
        </w:rPr>
        <w:t>………………………………………………………………………..56</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3.1. РАЗВИТИЕ АРХИТЕКТУРНО-ПЛАНИРОВОЧНОЙ СТРУКТУРЫ………………………..56</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3.2. СОЦИАЛЬНО-ЭКОНОМИЧЕСКОЕ РАЗВИТИЕ……………………………………………..56</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3.2.1. Прогноз численности населения…………………………………………………………….56</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3.2.2. Мероприятия по развитию экономики……………………………………………………...56</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3.2.3. Мероприятия по развитию жилищного строительства…………………………………....57</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3.2.4. Мероприятия по развитию земельно-имущественных отношений………………………58</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3.2.5. Мероприятия по развитию социальной инфраструктуры…………………………………59</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3.2.5.1. Образование……………………………………………………………………………..59</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3.2.5.2. Здравоохранение………………………………………………………………………..60</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3.2.5.3. Культура………………………………………………………………………………....60</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3.2.5.4. Физкультура и спорт……………………………………………………………………61</w:t>
      </w:r>
    </w:p>
    <w:p>
      <w:pPr>
        <w:ind w:left="709"/>
        <w:rPr>
          <w:rFonts w:ascii="Times New Roman" w:hAnsi="Times New Roman" w:eastAsia="Times New Roman" w:cs="Times New Roman"/>
          <w:lang w:eastAsia="ru-RU"/>
        </w:rPr>
      </w:pPr>
      <w:r>
        <w:rPr>
          <w:rFonts w:ascii="Times New Roman" w:hAnsi="Times New Roman" w:eastAsia="Times New Roman" w:cs="Times New Roman"/>
          <w:lang w:eastAsia="ru-RU"/>
        </w:rPr>
        <w:t>3.2.5.5. Предприятия торговли, общественного питания и бытового обслуживания……....62</w:t>
      </w:r>
    </w:p>
    <w:p>
      <w:pPr>
        <w:ind w:left="709" w:hanging="425"/>
        <w:rPr>
          <w:rFonts w:ascii="Times New Roman" w:hAnsi="Times New Roman" w:eastAsia="Times New Roman" w:cs="Times New Roman"/>
          <w:lang w:eastAsia="ru-RU"/>
        </w:rPr>
      </w:pPr>
      <w:r>
        <w:rPr>
          <w:rFonts w:ascii="Times New Roman" w:hAnsi="Times New Roman" w:eastAsia="Times New Roman" w:cs="Times New Roman"/>
          <w:lang w:eastAsia="ru-RU"/>
        </w:rPr>
        <w:t>3.3. МЕРОПРИЯТИЯ ПО ИЗМЕНЕНИЮ ГРАНИЦ……………………………………………….62</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3.4. МЕРОПРИЯТИЯ ПО ОХРАНЕ ОБЪЕКТОВ ИСТОРИКО-КУЛЬТУРНОГО</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НАСЛЕДИЯ…………………………………………………………………………………………..62</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3.5. МЕРОПРИЯТИЯ ПО РАЗВИТИЮ ТРАНСПОРТНОЙ ИНФРАСТРУКТУРЫ……………..65</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3.6. БЛАГОУСТРОЙСТВО ТЕРРИТОРИИ ПОСЕЛЕНИЯ………………………………………..66</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3.7. МЕРОПРИЯТИЯ ПО РАЗВИТИЮ ИНЖЕНЕРНОЙ ИНФРАСТРУКТУРЫ………………..67</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3.7.1. Водоснабжение и водоотведение...…………………………………………………………67</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3.7.2. Электроснабжение…………………………………………………………………………...69</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3.7.3. Газоснабжение………………………………………………………………………………..70</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3.7.4. Теплоснабжение……………………………………………………………………………...70</w:t>
      </w:r>
    </w:p>
    <w:p>
      <w:pPr>
        <w:ind w:left="426"/>
        <w:rPr>
          <w:rFonts w:ascii="Times New Roman" w:hAnsi="Times New Roman" w:eastAsia="Times New Roman" w:cs="Times New Roman"/>
          <w:lang w:eastAsia="ru-RU"/>
        </w:rPr>
      </w:pPr>
      <w:r>
        <w:rPr>
          <w:rFonts w:ascii="Times New Roman" w:hAnsi="Times New Roman" w:eastAsia="Times New Roman" w:cs="Times New Roman"/>
          <w:lang w:eastAsia="ru-RU"/>
        </w:rPr>
        <w:t>3.7.5. Связь…………………………………………………………………………………………..71</w:t>
      </w:r>
    </w:p>
    <w:p>
      <w:pPr>
        <w:ind w:left="284"/>
        <w:rPr>
          <w:rFonts w:ascii="Times New Roman" w:hAnsi="Times New Roman" w:eastAsia="Times New Roman" w:cs="Times New Roman"/>
          <w:lang w:eastAsia="ru-RU"/>
        </w:rPr>
      </w:pPr>
      <w:r>
        <w:rPr>
          <w:rFonts w:ascii="Times New Roman" w:hAnsi="Times New Roman" w:eastAsia="Times New Roman" w:cs="Times New Roman"/>
          <w:lang w:eastAsia="ru-RU"/>
        </w:rPr>
        <w:t>3.8. МЕРОПРИЯТИЯ ПО ОХРАНЕ ОКРУЖАЮЩЕЙ СРЕДЫ И РАЦИОНАЛЬНОМУ ПРИРОДОПОЛЬЗОВАНИЮ………………………………………………………………………...73</w:t>
      </w:r>
    </w:p>
    <w:p>
      <w:pPr>
        <w:keepNext/>
        <w:keepLines/>
        <w:spacing w:before="480" w:after="0" w:line="240" w:lineRule="auto"/>
        <w:ind w:left="284"/>
        <w:contextualSpacing/>
        <w:outlineLvl w:val="0"/>
        <w:rPr>
          <w:rFonts w:ascii="Times New Roman" w:hAnsi="Times New Roman" w:eastAsia="Times New Roman" w:cs="Times New Roman"/>
          <w:bCs/>
          <w:lang w:eastAsia="ru-RU"/>
        </w:rPr>
      </w:pPr>
      <w:r>
        <w:rPr>
          <w:rFonts w:ascii="Times New Roman" w:hAnsi="Times New Roman" w:eastAsia="Times New Roman" w:cs="Times New Roman"/>
          <w:bCs/>
          <w:color w:val="000000"/>
          <w:lang w:eastAsia="ru-RU"/>
        </w:rPr>
        <w:t>3.9.</w:t>
      </w:r>
      <w:r>
        <w:rPr>
          <w:rFonts w:ascii="Times New Roman" w:hAnsi="Times New Roman" w:eastAsia="Times New Roman" w:cs="Times New Roman"/>
          <w:b/>
          <w:bCs/>
          <w:color w:val="365F91"/>
          <w:sz w:val="28"/>
          <w:szCs w:val="28"/>
          <w:lang w:eastAsia="ru-RU"/>
        </w:rPr>
        <w:t xml:space="preserve"> </w:t>
      </w:r>
      <w:r>
        <w:rPr>
          <w:rFonts w:ascii="Times New Roman" w:hAnsi="Times New Roman" w:eastAsia="Times New Roman" w:cs="Times New Roman"/>
          <w:bCs/>
          <w:lang w:eastAsia="ru-RU"/>
        </w:rPr>
        <w:t>МЕРОПРИЯТИЯ ПО ЗАЩИТЕ ТЕРРИТОРИИ ОТ ОПАСНЫХ ПРИРОДНЫХ И ТЕХНОГЕННЫХ ПРОЦЕССОВ И ЧРЕЗВЫЧАЙНЫХ СИТУАЦИЙ…………………………...76</w:t>
      </w:r>
    </w:p>
    <w:p>
      <w:pPr>
        <w:rPr>
          <w:rFonts w:ascii="Calibri" w:hAnsi="Calibri" w:eastAsia="Times New Roman" w:cs="Times New Roman"/>
          <w:lang w:eastAsia="ru-RU"/>
        </w:rPr>
      </w:pPr>
    </w:p>
    <w:p>
      <w:pPr>
        <w:tabs>
          <w:tab w:val="left" w:pos="142"/>
        </w:tabs>
        <w:ind w:left="284" w:hanging="142"/>
        <w:rPr>
          <w:rFonts w:ascii="Times New Roman" w:hAnsi="Times New Roman" w:eastAsia="Times New Roman" w:cs="Times New Roman"/>
          <w:lang w:eastAsia="ru-RU"/>
        </w:rPr>
      </w:pPr>
      <w:r>
        <w:rPr>
          <w:rFonts w:ascii="Times New Roman" w:hAnsi="Times New Roman" w:eastAsia="Times New Roman" w:cs="Times New Roman"/>
          <w:b/>
          <w:lang w:eastAsia="ru-RU"/>
        </w:rPr>
        <w:t>4. ПРЕДЛОЖЕНИЯ ПО ПЕРВООЧЕРЕДНОЙ РАЗРАБОТКЕ ДОКУМЕНТАЦИИ ТЕРРИТОРИАЛЬНОГО ПЛАНИРОВАНИЯ</w:t>
      </w:r>
      <w:r>
        <w:rPr>
          <w:rFonts w:ascii="Times New Roman" w:hAnsi="Times New Roman" w:eastAsia="Times New Roman" w:cs="Times New Roman"/>
          <w:lang w:eastAsia="ru-RU"/>
        </w:rPr>
        <w:t>……………………………...……………………76</w:t>
      </w:r>
    </w:p>
    <w:p>
      <w:pPr>
        <w:rPr>
          <w:rFonts w:ascii="Calibri" w:hAnsi="Calibri" w:eastAsia="Times New Roman" w:cs="Times New Roman"/>
          <w:lang w:eastAsia="ru-RU"/>
        </w:rPr>
      </w:pPr>
    </w:p>
    <w:p>
      <w:pPr>
        <w:keepNext/>
        <w:pageBreakBefore/>
        <w:tabs>
          <w:tab w:val="left" w:pos="576"/>
        </w:tabs>
        <w:suppressAutoHyphens/>
        <w:spacing w:after="0" w:line="240" w:lineRule="auto"/>
        <w:ind w:firstLine="24"/>
        <w:jc w:val="center"/>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ВВЕДЕНИЕ</w:t>
      </w:r>
    </w:p>
    <w:p>
      <w:pPr>
        <w:spacing w:line="240" w:lineRule="auto"/>
        <w:ind w:left="-15" w:firstLine="750"/>
        <w:jc w:val="both"/>
        <w:rPr>
          <w:rFonts w:ascii="Times New Roman" w:hAnsi="Times New Roman" w:eastAsia="Times New Roman" w:cs="Times New Roman"/>
          <w:sz w:val="24"/>
          <w:szCs w:val="24"/>
          <w:lang w:eastAsia="ru-RU"/>
        </w:rPr>
      </w:pPr>
    </w:p>
    <w:p>
      <w:pPr>
        <w:spacing w:after="0" w:line="240" w:lineRule="auto"/>
        <w:ind w:left="-15" w:firstLine="7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Генеральный план Дмитриевского сельского поселения Заволжского района разработан с целью его адаптации  к  современному социально-экономическому положению, новым требованиям, предъявляемым законодательством Российской Федерации к градостроительной деятельности.</w:t>
      </w:r>
    </w:p>
    <w:p>
      <w:pPr>
        <w:spacing w:after="0" w:line="240" w:lineRule="auto"/>
        <w:ind w:firstLine="709"/>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Генеральный план – основной вид градостроительной документации, определяющий в интересах населения и государства условия формирования среды жизнедеятельности, направления и границы развития территории поселения, зонирование территории,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соблюдение санитарных норм и обеспечения экологической безопасности. Основная функция Генерального плана – градорегулирование, координация участников градостроительной деятельности в рамках принятой градостроительной стратегии.</w:t>
      </w:r>
    </w:p>
    <w:p>
      <w:pPr>
        <w:spacing w:after="0" w:line="240" w:lineRule="auto"/>
        <w:ind w:firstLine="709"/>
        <w:jc w:val="both"/>
        <w:rPr>
          <w:rFonts w:ascii="Calibri" w:hAnsi="Calibri" w:eastAsia="Times New Roman" w:cs="Times New Roman"/>
          <w:sz w:val="24"/>
          <w:szCs w:val="24"/>
          <w:lang w:eastAsia="ru-RU"/>
        </w:rPr>
      </w:pPr>
      <w:r>
        <w:rPr>
          <w:rFonts w:ascii="Times New Roman" w:hAnsi="Times New Roman" w:eastAsia="Times New Roman" w:cs="Times New Roman"/>
          <w:sz w:val="24"/>
          <w:lang w:eastAsia="ru-RU"/>
        </w:rPr>
        <w:t xml:space="preserve">Проектные решения Генерального плана являются основой для определения долгосрочной стратегии и этапов градостроительного планирования развития территории Дмитриевского сельского поселения, выбора оптимального </w:t>
      </w:r>
      <w:r>
        <w:rPr>
          <w:rFonts w:ascii="Times New Roman" w:hAnsi="Times New Roman" w:eastAsia="Times New Roman" w:cs="Times New Roman"/>
          <w:sz w:val="24"/>
          <w:szCs w:val="24"/>
          <w:lang w:eastAsia="ru-RU"/>
        </w:rPr>
        <w:t>решения архитектурно-планировочной  организации и функционального зонирования территории.</w:t>
      </w:r>
    </w:p>
    <w:p>
      <w:pPr>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Генерального плана Дмитриевского сельского поселения проводилась в соответствии с положениями статьи 23 Градостроительного кодекса Российской Федерации (от 29.12.2004г. №190-ФЗ), требованиями действующих федеральных законодательных актов, с учетом следующей базовой законодательной и градостроительной документации:</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Градостроительный кодекс РФ;</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Земельный Кодекс РФ</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 Водный Кодекс РФ </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Лесной Кодекс РФ</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«Об общих принципах организации местного самоуправления в Российской Федерации» №131-ФЗ.</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 техническом регулировании» №184-ФЗ от27.12.2002 г.</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«Об особо охраняемых природных территориях» №33-ФЗ от 14.03.95 г.</w:t>
      </w:r>
    </w:p>
    <w:p>
      <w:pPr>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 санитарно-эпидемиологическом благополучии населения» №52-ФЗ от 30.03 1999 с изменениями от 10.01.2003 г.</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 государственной регистрации прав на недвижимое имущество и сделок с ним» №122-ФЗ от 21.07.97 г.</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Федеральный закон «Об объектах культурного наследия (памятниках истории и культуры) народов Российской Федерации» от 25.06.2002 г. №73-ФЗ).</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«Методические рекомендации по разработке схем зонирования территории городов» №190-ФЗ от 29 декабря 2004 г.</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11-04-2003 «Инструкция о порядке разработки, согласования,  экспертизы  и утверждения градостроительной документации»;</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2.07.01-89* «Градостроительство. Планировка и застройка городских и сельских поселений»;</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2.04.02-84* «Водоснабжение. Наружные сети и сооружения»;</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2.04.03.-85 «Канализация. Наружные сети и сооружения»;</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2.04.07-86 «Тепловые сети»;</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2.06.15-85 «Инженерная защита территории от затопления и подтопления»;</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2.04.07-86*; «Методики расчета потребности тепловой энергии на отопление»; вентиляцию и горячее водоснабжение жилых и общественных зданий и сооружений»;</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СНиП 11-02-96 «Инженерно-экологические изыскания для строительства. Основные положения»;</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СанПиН 2.1.7.1287-03 «Санитарно-эпидемиологические требования к качеству почвы»;</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СанПиН 2.1.5.980-00 «Гигиенические требования к охране поверхностных вод»;</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-СанПиН 2.2.1/2.1.1.1200-03 «Санитарно-защитные зоны и санитарная классификация предприятий, сооружений и иных объектов»;</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ГН 2.1.6.1338-03 «Гигиенические нормативы и ПДК загрязняющих веществ в атмосферном воздухе населенных мест»;</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СП 2.1.5.1059-01 «Гигиенические требования к охране подземных вод от загрязнений»;</w:t>
      </w:r>
    </w:p>
    <w:p>
      <w:pPr>
        <w:tabs>
          <w:tab w:val="left" w:pos="709"/>
        </w:tabs>
        <w:spacing w:after="0" w:line="240" w:lineRule="auto"/>
        <w:ind w:left="709" w:hanging="142"/>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СП 30-102-99 «Планировка и застройка территорий малоэтажного жилищного строительства».</w:t>
      </w:r>
    </w:p>
    <w:p>
      <w:pPr>
        <w:spacing w:after="0"/>
        <w:ind w:left="-15" w:firstLine="750"/>
        <w:jc w:val="both"/>
        <w:rPr>
          <w:rFonts w:ascii="Times New Roman" w:hAnsi="Times New Roman" w:eastAsia="Times New Roman" w:cs="Times New Roman"/>
          <w:sz w:val="24"/>
          <w:szCs w:val="24"/>
          <w:lang w:eastAsia="ru-RU"/>
        </w:rPr>
      </w:pPr>
    </w:p>
    <w:p>
      <w:pPr>
        <w:spacing w:after="0"/>
        <w:ind w:left="-15" w:firstLine="7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достижения указанной цели проведены следующие основные мероприятия:</w:t>
      </w:r>
    </w:p>
    <w:p>
      <w:pPr>
        <w:widowControl w:val="0"/>
        <w:numPr>
          <w:ilvl w:val="0"/>
          <w:numId w:val="1"/>
        </w:numPr>
        <w:tabs>
          <w:tab w:val="left" w:pos="675"/>
        </w:tabs>
        <w:suppressAutoHyphens/>
        <w:spacing w:after="0" w:line="240" w:lineRule="auto"/>
        <w:ind w:left="-15" w:firstLine="7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произведен градостроительный анализ существующего положения;</w:t>
      </w:r>
    </w:p>
    <w:p>
      <w:pPr>
        <w:widowControl w:val="0"/>
        <w:numPr>
          <w:ilvl w:val="0"/>
          <w:numId w:val="1"/>
        </w:numPr>
        <w:tabs>
          <w:tab w:val="left" w:pos="675"/>
        </w:tabs>
        <w:suppressAutoHyphens/>
        <w:spacing w:after="0" w:line="240" w:lineRule="auto"/>
        <w:ind w:left="-15" w:firstLine="7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составлены схемы градостроительного зонирования;</w:t>
      </w:r>
    </w:p>
    <w:p>
      <w:pPr>
        <w:widowControl w:val="0"/>
        <w:numPr>
          <w:ilvl w:val="0"/>
          <w:numId w:val="1"/>
        </w:numPr>
        <w:tabs>
          <w:tab w:val="left" w:pos="675"/>
        </w:tabs>
        <w:suppressAutoHyphens/>
        <w:spacing w:after="0" w:line="240" w:lineRule="auto"/>
        <w:ind w:left="-15" w:firstLine="75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определены принципиальные границы сельских поселений и иных территорий.</w:t>
      </w:r>
    </w:p>
    <w:p>
      <w:pPr>
        <w:widowControl w:val="0"/>
        <w:tabs>
          <w:tab w:val="left" w:pos="2880"/>
          <w:tab w:val="left" w:pos="21600"/>
        </w:tabs>
        <w:spacing w:after="0" w:line="240" w:lineRule="auto"/>
        <w:ind w:left="360"/>
        <w:jc w:val="both"/>
        <w:rPr>
          <w:rFonts w:ascii="Times New Roman" w:hAnsi="Times New Roman" w:eastAsia="Times New Roman" w:cs="Times New Roman"/>
          <w:sz w:val="24"/>
          <w:szCs w:val="24"/>
          <w:lang w:eastAsia="ar-SA"/>
        </w:rPr>
      </w:pPr>
    </w:p>
    <w:p>
      <w:pPr>
        <w:widowControl w:val="0"/>
        <w:tabs>
          <w:tab w:val="left" w:pos="2880"/>
          <w:tab w:val="left" w:pos="21600"/>
        </w:tabs>
        <w:spacing w:after="0" w:line="240" w:lineRule="auto"/>
        <w:ind w:left="36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Проект разработан ООО «База» </w:t>
      </w:r>
    </w:p>
    <w:p>
      <w:pPr>
        <w:widowControl w:val="0"/>
        <w:tabs>
          <w:tab w:val="left" w:pos="2880"/>
          <w:tab w:val="left" w:pos="21600"/>
        </w:tabs>
        <w:spacing w:after="0" w:line="240" w:lineRule="auto"/>
        <w:ind w:left="360"/>
        <w:jc w:val="both"/>
        <w:rPr>
          <w:rFonts w:ascii="Times New Roman" w:hAnsi="Times New Roman" w:eastAsia="Times New Roman" w:cs="Times New Roman"/>
          <w:sz w:val="24"/>
          <w:szCs w:val="24"/>
          <w:lang w:eastAsia="ar-SA"/>
        </w:rPr>
      </w:pPr>
    </w:p>
    <w:tbl>
      <w:tblPr>
        <w:tblStyle w:val="22"/>
        <w:tblW w:w="9735" w:type="dxa"/>
        <w:jc w:val="center"/>
        <w:tblInd w:w="0" w:type="dxa"/>
        <w:tblLayout w:type="fixed"/>
        <w:tblCellMar>
          <w:top w:w="0" w:type="dxa"/>
          <w:left w:w="108" w:type="dxa"/>
          <w:bottom w:w="0" w:type="dxa"/>
          <w:right w:w="108" w:type="dxa"/>
        </w:tblCellMar>
      </w:tblPr>
      <w:tblGrid>
        <w:gridCol w:w="4725"/>
        <w:gridCol w:w="5010"/>
      </w:tblGrid>
      <w:tr>
        <w:tblPrEx>
          <w:tblLayout w:type="fixed"/>
          <w:tblCellMar>
            <w:top w:w="0" w:type="dxa"/>
            <w:left w:w="108" w:type="dxa"/>
            <w:bottom w:w="0" w:type="dxa"/>
            <w:right w:w="108" w:type="dxa"/>
          </w:tblCellMar>
        </w:tblPrEx>
        <w:trPr>
          <w:jc w:val="center"/>
        </w:trPr>
        <w:tc>
          <w:tcPr>
            <w:tcW w:w="4725" w:type="dxa"/>
            <w:tcBorders>
              <w:top w:val="single" w:color="000000" w:sz="4" w:space="0"/>
              <w:left w:val="single" w:color="000000" w:sz="4" w:space="0"/>
              <w:bottom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Главный архитектор проекта, </w:t>
            </w:r>
          </w:p>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Директор ООО «БАЗА»</w:t>
            </w:r>
          </w:p>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Доцент кафедры архитектуры ИГАСУ</w:t>
            </w:r>
          </w:p>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Председатель правления Союза архитекторов</w:t>
            </w:r>
          </w:p>
        </w:tc>
        <w:tc>
          <w:tcPr>
            <w:tcW w:w="5010" w:type="dxa"/>
            <w:tcBorders>
              <w:top w:val="single" w:color="000000" w:sz="4" w:space="0"/>
              <w:left w:val="single" w:color="000000" w:sz="4" w:space="0"/>
              <w:bottom w:val="single" w:color="000000" w:sz="4" w:space="0"/>
              <w:right w:val="single" w:color="000000" w:sz="4" w:space="0"/>
            </w:tcBorders>
          </w:tcPr>
          <w:p>
            <w:pPr>
              <w:snapToGrid w:val="0"/>
              <w:spacing w:after="0"/>
              <w:rPr>
                <w:rFonts w:ascii="Times New Roman" w:hAnsi="Times New Roman" w:eastAsia="Times New Roman" w:cs="Times New Roman"/>
                <w:sz w:val="24"/>
                <w:szCs w:val="24"/>
                <w:lang w:eastAsia="ru-RU"/>
              </w:rPr>
            </w:pPr>
          </w:p>
          <w:p>
            <w:pPr>
              <w:snapToGrid w:val="0"/>
              <w:spacing w:after="0"/>
              <w:rPr>
                <w:rFonts w:ascii="Times New Roman" w:hAnsi="Times New Roman" w:eastAsia="Times New Roman" w:cs="Times New Roman"/>
                <w:sz w:val="24"/>
                <w:szCs w:val="24"/>
                <w:lang w:eastAsia="ru-RU"/>
              </w:rPr>
            </w:pPr>
          </w:p>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Постнов В.М.</w:t>
            </w:r>
          </w:p>
        </w:tc>
      </w:tr>
      <w:tr>
        <w:tblPrEx>
          <w:tblLayout w:type="fixed"/>
          <w:tblCellMar>
            <w:top w:w="0" w:type="dxa"/>
            <w:left w:w="108" w:type="dxa"/>
            <w:bottom w:w="0" w:type="dxa"/>
            <w:right w:w="108" w:type="dxa"/>
          </w:tblCellMar>
        </w:tblPrEx>
        <w:trPr>
          <w:jc w:val="center"/>
        </w:trPr>
        <w:tc>
          <w:tcPr>
            <w:tcW w:w="4725" w:type="dxa"/>
            <w:tcBorders>
              <w:top w:val="single" w:color="000000" w:sz="4" w:space="0"/>
              <w:left w:val="single" w:color="000000" w:sz="4" w:space="0"/>
              <w:bottom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Менеджер проекта</w:t>
            </w:r>
          </w:p>
        </w:tc>
        <w:tc>
          <w:tcPr>
            <w:tcW w:w="5010" w:type="dxa"/>
            <w:tcBorders>
              <w:top w:val="single" w:color="000000" w:sz="4" w:space="0"/>
              <w:left w:val="single" w:color="000000" w:sz="4" w:space="0"/>
              <w:bottom w:val="single" w:color="000000" w:sz="4" w:space="0"/>
              <w:right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Беляева Е.Г.</w:t>
            </w:r>
          </w:p>
        </w:tc>
      </w:tr>
      <w:tr>
        <w:tblPrEx>
          <w:tblLayout w:type="fixed"/>
          <w:tblCellMar>
            <w:top w:w="0" w:type="dxa"/>
            <w:left w:w="108" w:type="dxa"/>
            <w:bottom w:w="0" w:type="dxa"/>
            <w:right w:w="108" w:type="dxa"/>
          </w:tblCellMar>
        </w:tblPrEx>
        <w:trPr>
          <w:jc w:val="center"/>
        </w:trPr>
        <w:tc>
          <w:tcPr>
            <w:tcW w:w="4725" w:type="dxa"/>
            <w:tcBorders>
              <w:top w:val="single" w:color="000000" w:sz="4" w:space="0"/>
              <w:left w:val="single" w:color="000000" w:sz="4" w:space="0"/>
              <w:bottom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Руководитель группы</w:t>
            </w:r>
          </w:p>
        </w:tc>
        <w:tc>
          <w:tcPr>
            <w:tcW w:w="5010" w:type="dxa"/>
            <w:tcBorders>
              <w:top w:val="single" w:color="000000" w:sz="4" w:space="0"/>
              <w:left w:val="single" w:color="000000" w:sz="4" w:space="0"/>
              <w:bottom w:val="single" w:color="000000" w:sz="4" w:space="0"/>
              <w:right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Машина Е.А.</w:t>
            </w:r>
          </w:p>
        </w:tc>
      </w:tr>
      <w:tr>
        <w:tblPrEx>
          <w:tblLayout w:type="fixed"/>
        </w:tblPrEx>
        <w:trPr>
          <w:jc w:val="center"/>
        </w:trPr>
        <w:tc>
          <w:tcPr>
            <w:tcW w:w="4725" w:type="dxa"/>
            <w:tcBorders>
              <w:top w:val="single" w:color="000000" w:sz="4" w:space="0"/>
              <w:left w:val="single" w:color="000000" w:sz="4" w:space="0"/>
              <w:bottom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Архитекторы</w:t>
            </w:r>
          </w:p>
        </w:tc>
        <w:tc>
          <w:tcPr>
            <w:tcW w:w="5010" w:type="dxa"/>
            <w:tcBorders>
              <w:top w:val="single" w:color="000000" w:sz="4" w:space="0"/>
              <w:left w:val="single" w:color="000000" w:sz="4" w:space="0"/>
              <w:bottom w:val="single" w:color="000000" w:sz="4" w:space="0"/>
              <w:right w:val="single" w:color="000000" w:sz="4" w:space="0"/>
            </w:tcBorders>
          </w:tcPr>
          <w:p>
            <w:pPr>
              <w:snapToGrid w:val="0"/>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Шахвердян А.М.</w:t>
            </w:r>
          </w:p>
        </w:tc>
      </w:tr>
    </w:tbl>
    <w:p>
      <w:pPr>
        <w:spacing w:after="0"/>
        <w:rPr>
          <w:rFonts w:ascii="Calibri" w:hAnsi="Calibri" w:eastAsia="Times New Roman" w:cs="Times New Roman"/>
          <w:lang w:eastAsia="ru-RU"/>
        </w:rPr>
      </w:pPr>
    </w:p>
    <w:p>
      <w:pPr>
        <w:spacing w:after="0"/>
        <w:rPr>
          <w:rFonts w:ascii="Calibri" w:hAnsi="Calibri" w:eastAsia="Times New Roman" w:cs="Times New Roman"/>
          <w:lang w:eastAsia="ru-RU"/>
        </w:rPr>
      </w:pPr>
    </w:p>
    <w:p>
      <w:pPr>
        <w:spacing w:after="0"/>
        <w:rPr>
          <w:rFonts w:ascii="Calibri" w:hAnsi="Calibri" w:eastAsia="Times New Roman" w:cs="Times New Roman"/>
          <w:lang w:eastAsia="ru-RU"/>
        </w:rPr>
      </w:pPr>
    </w:p>
    <w:p>
      <w:pPr>
        <w:spacing w:after="0"/>
        <w:rPr>
          <w:rFonts w:ascii="Calibri" w:hAnsi="Calibri" w:eastAsia="Times New Roman" w:cs="Times New Roman"/>
          <w:lang w:eastAsia="ru-RU"/>
        </w:rPr>
      </w:pPr>
    </w:p>
    <w:p>
      <w:pPr>
        <w:numPr>
          <w:ilvl w:val="0"/>
          <w:numId w:val="2"/>
        </w:numPr>
        <w:suppressAutoHyphens/>
        <w:spacing w:after="0" w:line="240" w:lineRule="auto"/>
        <w:contextualSpacing/>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ЦЕЛИ И ЗАДАЧИ ПРОЕКТА. МЕТОДОЛОГИЧЕСКИЙ ПОДХОД</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Основными целями территориального планирования Дмитриевского сельского поселения являются:</w:t>
      </w:r>
    </w:p>
    <w:p>
      <w:pPr>
        <w:numPr>
          <w:ilvl w:val="0"/>
          <w:numId w:val="3"/>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Определение назначения территории поселения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w:t>
      </w:r>
    </w:p>
    <w:p>
      <w:pPr>
        <w:numPr>
          <w:ilvl w:val="0"/>
          <w:numId w:val="3"/>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устойчивого развития территории поселения путём разработки долгосрочной территориальной стратегии, учитывающей, в том числе, необходимость достижения социально-экономического развития поселения  и обеспечения высоких жизненных стандартов населения.</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рамках проекта на основе комплексного анализа территории Дмитриевского сельского поселения сформулированы следующие цели развития: </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устойчивого социально-экономического развития сельского поселения, его производственного потенциала.</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Формирование комфортабельной жилой среды проживания, труда и отдыха населения отвечающей социальным стандартам.</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Улучшение архитектурно-художественного облика и повышение качества сложившейся среды населенных мест; повышение их уровня благоустройства.</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качества среды проживания и мест приложения труда.</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Сохранение и регенерация исторического и культурного наследия.</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инженерной, транспортной и социальной инфраструктур.</w:t>
      </w:r>
    </w:p>
    <w:p>
      <w:pPr>
        <w:numPr>
          <w:ilvl w:val="0"/>
          <w:numId w:val="4"/>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Обеспечения учета интересов Российской Федерации, Ивановской области, жителей Дмитриевского сельского поселения и их объединений.</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указанных целей осуществляется посредством решения следующих задач территориального планирования:</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Определение долгосрочной стратегии и этапов градостроительного планирования развития территории Дмитриевского сельского поселения.</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Определение оптимального решения архитектурно-планировочной  организации территории Дмитриевского сельского поселения.</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Выявление проблем градостроительного развития территории.</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Планируемое размещение объектов капитального строительства, существующие и планируемые границы земель промышленности, энергетики, транспорта и связи.</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Улучшение жилищных условий, достижение многообразия типов жилой среды и комплексности застройки жилых территорий.</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Определение направлений развития инженерной инфраструктуры.</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Разработка предложений по оптимизации транспортного обслуживания населения и развития дорожной инфраструктуры.</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Сохранение историко-культурного, ландшафтного и архитектурно-пространственного своеобразия Дмитриевского сельского поселения.</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Определение мероприятий по предупреждению чрезвычайных ситуаций природного и техногенного характера.</w:t>
      </w:r>
    </w:p>
    <w:p>
      <w:pPr>
        <w:numPr>
          <w:ilvl w:val="0"/>
          <w:numId w:val="5"/>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экологической безопасности и определение мероприятий по организации зон с особыми условиями использования территорий.</w:t>
      </w:r>
    </w:p>
    <w:p>
      <w:pPr>
        <w:spacing w:after="0" w:line="240" w:lineRule="auto"/>
        <w:ind w:firstLine="709"/>
        <w:contextualSpacing/>
        <w:rPr>
          <w:rFonts w:ascii="Times New Roman" w:hAnsi="Times New Roman" w:eastAsia="Times New Roman" w:cs="Times New Roman"/>
          <w:b/>
          <w:sz w:val="24"/>
          <w:szCs w:val="24"/>
          <w:lang w:eastAsia="ru-RU"/>
        </w:rPr>
      </w:pPr>
    </w:p>
    <w:p>
      <w:pPr>
        <w:spacing w:after="0" w:line="240" w:lineRule="auto"/>
        <w:ind w:firstLine="709"/>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Методология проекта</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Генеральном плане определены основные параметры развития сельского поселения: перспективная численность населения, объемы всех видов строительства, в том числе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 озеленения и благоустройства территории.</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проекте выполняется одна из главных задач Генерального плана – функциональное зонирование территорий, с выделением жилых, производственных, общественных, рекреационных и других зон, для развития всех жизненно важных функций территории поселения.</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Планировочные решения Генерального плана являются основой для разработки проектной документации следующих уровней – проектов планировок отдельных районов и зон поселения, целевых программ и пр.</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качестве основных методов исследования при разработке тематических блоков использованы современные научные методики, основанные на получении объективной информации о взаимодействии природных и социально-экономических процессов, выявлении особенностей современного состояния, ретроспективы, а так же моделирование и прогнозирование их развития.</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числу таких методов относятся математико-статистический, сравнительный, историко-географический, метод полимасштабного анализа, картографический, геоинформационный, социологический.</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Такой подход позволяет провести:</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комплексный анализ территории с целью выявления природно-экологического, демографического, экономического, историко-культурного потенциалов, выявления проблемных ситуаций и территорий, а также зон с особыми условиями использования территории;</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разработку и обоснование предложений по зонированию территории, функциональному назначению зон и режимов их содержанию и использованию, развитию населенных пунктов;</w:t>
      </w:r>
    </w:p>
    <w:p>
      <w:pPr>
        <w:numPr>
          <w:ilvl w:val="0"/>
          <w:numId w:val="6"/>
        </w:num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прогнозирование базовых параметров развития территории: численности населения городского поселения, состояния сферы занятости, объемов строительства;</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разработку мероприятий по размещению объектов местного значения, по развитию транспортной инфраструктуры поселения, реконструкции и развитию инженерных систем, систем связи и телекоммуникаций;</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разработку мероприятий по восстановлению, сохранению и использованию историко-культурного наследия;</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разработку мероприятий по сохранению и развитию системы особо охраняемых природных территорий, рациональному использованию природных ресурсов;</w:t>
      </w:r>
    </w:p>
    <w:p>
      <w:pPr>
        <w:numPr>
          <w:ilvl w:val="0"/>
          <w:numId w:val="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разработку мероприятий по защите от неблагоприятных природных и антропогенных процессов, чрезвычайных ситуаций.</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Высокая достоверность результатов основывается на использовании методов пространственно-временного моделирования, геоинформационных технологий и систем ArcGIS, AutoCad, а так же обобщении многообразных источников первичной статистической информации – данных переписей населений и текущего государственного статистического учета, внутриведомственных отчетов, материалов обследований научных и научно-производственных организаций и т.п.</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инновационных методов в подготовке указанных документов территориального планирования, создание картографических и тематических баз данных, использование геоинформационных технологий, разработка интегральных географических информационно-аналитических систем способствуют формированию обоснованных представлений о пространственной организации территории, совершенствованию технологий комплексного территориального планирования, организации актуального информационного обеспечения градостроительной деятельности.</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Графические материалы выполнены в М 1:25000 и представлены в электронном виде, а также на бумажном носителе. </w:t>
      </w:r>
    </w:p>
    <w:p>
      <w:pPr>
        <w:spacing w:after="0" w:line="240" w:lineRule="auto"/>
        <w:ind w:firstLine="709"/>
        <w:contextualSpacing/>
        <w:jc w:val="both"/>
        <w:rPr>
          <w:rFonts w:ascii="Times New Roman" w:hAnsi="Times New Roman" w:eastAsia="Times New Roman" w:cs="Times New Roman"/>
          <w:sz w:val="24"/>
          <w:szCs w:val="24"/>
          <w:lang w:eastAsia="ru-RU"/>
        </w:rPr>
      </w:pPr>
    </w:p>
    <w:p>
      <w:pPr>
        <w:spacing w:after="0" w:line="240" w:lineRule="auto"/>
        <w:ind w:firstLine="709"/>
        <w:contextualSpacing/>
        <w:jc w:val="both"/>
        <w:rPr>
          <w:rFonts w:ascii="Times New Roman" w:hAnsi="Times New Roman" w:eastAsia="Times New Roman" w:cs="Times New Roman"/>
          <w:sz w:val="24"/>
          <w:szCs w:val="24"/>
          <w:lang w:eastAsia="ru-RU"/>
        </w:rPr>
      </w:pPr>
    </w:p>
    <w:p>
      <w:pPr>
        <w:spacing w:after="0" w:line="240" w:lineRule="auto"/>
        <w:ind w:firstLine="709"/>
        <w:contextualSpacing/>
        <w:jc w:val="both"/>
        <w:rPr>
          <w:rFonts w:ascii="Times New Roman" w:hAnsi="Times New Roman" w:eastAsia="Times New Roman" w:cs="Times New Roman"/>
          <w:sz w:val="24"/>
          <w:szCs w:val="24"/>
          <w:lang w:eastAsia="ru-RU"/>
        </w:rPr>
      </w:pPr>
    </w:p>
    <w:p>
      <w:pPr>
        <w:spacing w:after="0" w:line="240" w:lineRule="auto"/>
        <w:ind w:firstLine="709"/>
        <w:contextualSpacing/>
        <w:jc w:val="both"/>
        <w:rPr>
          <w:rFonts w:ascii="Times New Roman" w:hAnsi="Times New Roman" w:eastAsia="Times New Roman" w:cs="Times New Roman"/>
          <w:sz w:val="24"/>
          <w:szCs w:val="24"/>
          <w:lang w:eastAsia="ru-RU"/>
        </w:rPr>
      </w:pPr>
    </w:p>
    <w:p>
      <w:pPr>
        <w:spacing w:after="0" w:line="240" w:lineRule="auto"/>
        <w:ind w:firstLine="709"/>
        <w:contextualSpacing/>
        <w:jc w:val="both"/>
        <w:rPr>
          <w:rFonts w:ascii="Times New Roman" w:hAnsi="Times New Roman" w:eastAsia="Times New Roman" w:cs="Times New Roman"/>
          <w:sz w:val="24"/>
          <w:szCs w:val="24"/>
          <w:lang w:eastAsia="ru-RU"/>
        </w:rPr>
      </w:pPr>
    </w:p>
    <w:p>
      <w:pPr>
        <w:keepNext/>
        <w:keepLines/>
        <w:spacing w:before="480" w:after="0" w:line="240" w:lineRule="auto"/>
        <w:ind w:firstLine="426"/>
        <w:jc w:val="center"/>
        <w:outlineLvl w:val="0"/>
        <w:rPr>
          <w:rFonts w:ascii="Times New Roman" w:hAnsi="Times New Roman" w:eastAsia="Times New Roman" w:cs="Times New Roman"/>
          <w:b/>
          <w:bCs/>
          <w:sz w:val="28"/>
          <w:szCs w:val="28"/>
          <w:lang w:eastAsia="ru-RU"/>
        </w:rPr>
      </w:pPr>
      <w:bookmarkStart w:id="0" w:name="_Toc312170818"/>
      <w:bookmarkStart w:id="1" w:name="_Toc312173526"/>
      <w:r>
        <w:rPr>
          <w:rFonts w:ascii="Times New Roman" w:hAnsi="Times New Roman" w:eastAsia="Times New Roman" w:cs="Times New Roman"/>
          <w:b/>
          <w:bCs/>
          <w:sz w:val="28"/>
          <w:szCs w:val="28"/>
          <w:lang w:eastAsia="ru-RU"/>
        </w:rPr>
        <w:t>2. ОБОСНОВАНИЕ ПРОЕКТНЫХ ПРЕДЛОЖЕНИЙ</w:t>
      </w:r>
      <w:bookmarkEnd w:id="0"/>
      <w:bookmarkEnd w:id="1"/>
    </w:p>
    <w:p>
      <w:pPr>
        <w:keepNext/>
        <w:keepLines/>
        <w:spacing w:before="480" w:after="0" w:line="240" w:lineRule="auto"/>
        <w:ind w:firstLine="426"/>
        <w:jc w:val="center"/>
        <w:outlineLvl w:val="0"/>
        <w:rPr>
          <w:rFonts w:ascii="Times New Roman" w:hAnsi="Times New Roman" w:eastAsia="Times New Roman" w:cs="Times New Roman"/>
          <w:b/>
          <w:bCs/>
          <w:sz w:val="28"/>
          <w:szCs w:val="28"/>
          <w:lang w:eastAsia="ru-RU"/>
        </w:rPr>
      </w:pPr>
      <w:bookmarkStart w:id="2" w:name="_Toc312170819"/>
      <w:bookmarkStart w:id="3" w:name="_Toc312173527"/>
      <w:r>
        <w:rPr>
          <w:rFonts w:ascii="Times New Roman" w:hAnsi="Times New Roman" w:eastAsia="Times New Roman" w:cs="Times New Roman"/>
          <w:b/>
          <w:bCs/>
          <w:sz w:val="28"/>
          <w:szCs w:val="28"/>
          <w:lang w:eastAsia="ru-RU"/>
        </w:rPr>
        <w:t xml:space="preserve">2.1. </w:t>
      </w:r>
      <w:bookmarkEnd w:id="2"/>
      <w:bookmarkEnd w:id="3"/>
      <w:r>
        <w:rPr>
          <w:rFonts w:ascii="Times New Roman" w:hAnsi="Times New Roman" w:eastAsia="Times New Roman" w:cs="Times New Roman"/>
          <w:b/>
          <w:bCs/>
          <w:sz w:val="28"/>
          <w:szCs w:val="28"/>
          <w:lang w:eastAsia="ru-RU"/>
        </w:rPr>
        <w:t>ОБЩАЯ ЧАСТЬ</w:t>
      </w:r>
    </w:p>
    <w:p>
      <w:pPr>
        <w:spacing w:after="0" w:line="240" w:lineRule="auto"/>
        <w:jc w:val="center"/>
        <w:rPr>
          <w:rFonts w:ascii="Times New Roman" w:hAnsi="Times New Roman" w:eastAsia="Times New Roman" w:cs="Times New Roman"/>
          <w:b/>
          <w:bCs/>
          <w:iCs/>
          <w:sz w:val="24"/>
          <w:szCs w:val="24"/>
          <w:lang w:eastAsia="ar-SA"/>
        </w:rPr>
      </w:pPr>
    </w:p>
    <w:p>
      <w:pPr>
        <w:keepNext/>
        <w:numPr>
          <w:ilvl w:val="2"/>
          <w:numId w:val="7"/>
        </w:numPr>
        <w:tabs>
          <w:tab w:val="left" w:pos="576"/>
        </w:tabs>
        <w:suppressAutoHyphens/>
        <w:spacing w:after="0" w:line="240" w:lineRule="auto"/>
        <w:jc w:val="center"/>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ОБЩИЕ СВЕДЕНИЯ ОБ ОБЪЕКТЕ ПРОЕКТИРОВАНИЯ</w:t>
      </w:r>
    </w:p>
    <w:p>
      <w:pPr>
        <w:spacing w:after="0"/>
        <w:rPr>
          <w:rFonts w:ascii="Calibri" w:hAnsi="Calibri" w:eastAsia="Times New Roman" w:cs="Times New Roman"/>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Согласно с Законом Ивановской области от 18.06.2009 № 62-ОЗ «О преобразовании сельских поселений в Заволжском муниципальном районе», в результате слияния Корниловского и Колшевского сельских поселений было образованно Дмитриевское сельское поселение, с административным центром — с. Колшево.</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Поселение расположено в северной части Ивановской области, граничит с Красносельским,  Судиславльским районами Костромской области с северо-запада, с Волжским сельским поселением Заволжского муниципального района – с юго-востока. Расстояние от центральной усадьбы поселения - с. Колшево до районного центра - г. Заволжск- 43 км, до областного центра - г. Иваново- 135 км, до г. Кострома- 43 км. Площадь поселения- 180 кв.км. Поселение расположено в бассейне левых притоков реки Волга. </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Через Дмитриевское сельское поселение проходит  автомобильная дорога общего пользования регионального значения Заволжск-Кострома, автомобильная дорога общего пользования межмуниципального значения Посулово – Сногищево. </w:t>
      </w:r>
    </w:p>
    <w:p>
      <w:pPr>
        <w:spacing w:after="0"/>
        <w:ind w:firstLine="540"/>
        <w:jc w:val="both"/>
        <w:rPr>
          <w:rFonts w:ascii="Calibri" w:hAnsi="Calibri" w:eastAsia="Times New Roman" w:cs="Times New Roman"/>
          <w:lang w:eastAsia="ru-RU"/>
        </w:rPr>
      </w:pPr>
      <w:r>
        <w:rPr>
          <w:rFonts w:ascii="Times New Roman" w:hAnsi="Times New Roman" w:eastAsia="Times New Roman" w:cs="Times New Roman"/>
          <w:sz w:val="24"/>
          <w:szCs w:val="24"/>
          <w:lang w:eastAsia="ru-RU"/>
        </w:rPr>
        <w:t>Дмитриевское сельское поселение объединяет 33 населенных пункта: два села - Кистега и Колшево, и 31 деревню: Аверино, Артюково, Безносово, Белоногово, Вострово, Вьюшково, Голочелово, Горянцево, Деревнище, Ивашево, Игнатцево, Князево, Корнилово, Крапивки, Лентьево, Лобаново, Лыково, Лысково, Михальцево, Нянькино, Поделово, Саловица, Селиверстово, Сокерино, Сорвирогово, Узорокино, Федосцыно, Чуприяново, Широково, Шишкино Малое, Ямново. Численность постоянно проживающего населения на 01.01.2012 год, на основе данных предоставленных администрацией Дмитриевского сельского поселения составляет 809 человек.</w:t>
      </w:r>
      <w:r>
        <w:rPr>
          <w:rFonts w:ascii="Calibri" w:hAnsi="Calibri" w:eastAsia="Times New Roman" w:cs="Times New Roman"/>
          <w:lang w:eastAsia="ru-RU"/>
        </w:rPr>
        <w:t xml:space="preserve">   </w:t>
      </w:r>
    </w:p>
    <w:p>
      <w:pPr>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Законодательством Российской Федерации и Ивановской области, регламентирующим вопросы местного самоуправления, село Колшево является административным центром Дмитриевского сельского поселения. 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pPr>
        <w:spacing w:after="0"/>
        <w:jc w:val="both"/>
        <w:rPr>
          <w:rFonts w:ascii="Times New Roman" w:hAnsi="Times New Roman" w:eastAsia="Times New Roman" w:cs="Times New Roman"/>
          <w:sz w:val="24"/>
          <w:szCs w:val="24"/>
          <w:lang w:eastAsia="ru-RU"/>
        </w:rPr>
      </w:pPr>
    </w:p>
    <w:p>
      <w:pPr>
        <w:numPr>
          <w:ilvl w:val="2"/>
          <w:numId w:val="7"/>
        </w:num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ИСТОРИКО-КУЛЬТУРНОЕ НАСЛЕДИЕ</w:t>
      </w:r>
    </w:p>
    <w:p>
      <w:pPr>
        <w:spacing w:after="0" w:line="240" w:lineRule="auto"/>
        <w:ind w:right="-6"/>
        <w:jc w:val="both"/>
        <w:rPr>
          <w:rFonts w:ascii="Times New Roman" w:hAnsi="Times New Roman" w:eastAsia="Times New Roman" w:cs="Times New Roman"/>
          <w:sz w:val="24"/>
          <w:szCs w:val="24"/>
          <w:lang w:eastAsia="ar-SA"/>
        </w:rPr>
      </w:pPr>
    </w:p>
    <w:p>
      <w:pPr>
        <w:tabs>
          <w:tab w:val="left" w:pos="360"/>
        </w:tabs>
        <w:spacing w:after="0"/>
        <w:ind w:firstLine="720"/>
        <w:jc w:val="center"/>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Перечень памятников истории, архитектуры и археологии Дмитриевского сельского поселения</w:t>
      </w:r>
    </w:p>
    <w:tbl>
      <w:tblPr>
        <w:tblStyle w:val="22"/>
        <w:tblW w:w="9900" w:type="dxa"/>
        <w:tblInd w:w="55" w:type="dxa"/>
        <w:tblLayout w:type="fixed"/>
        <w:tblCellMar>
          <w:top w:w="55" w:type="dxa"/>
          <w:left w:w="55" w:type="dxa"/>
          <w:bottom w:w="55" w:type="dxa"/>
          <w:right w:w="55" w:type="dxa"/>
        </w:tblCellMar>
      </w:tblPr>
      <w:tblGrid>
        <w:gridCol w:w="699"/>
        <w:gridCol w:w="3279"/>
        <w:gridCol w:w="2007"/>
        <w:gridCol w:w="1995"/>
        <w:gridCol w:w="1920"/>
      </w:tblGrid>
      <w:tr>
        <w:tblPrEx>
          <w:tblLayout w:type="fixed"/>
          <w:tblCellMar>
            <w:top w:w="55" w:type="dxa"/>
            <w:left w:w="55" w:type="dxa"/>
            <w:bottom w:w="55" w:type="dxa"/>
            <w:right w:w="55" w:type="dxa"/>
          </w:tblCellMar>
        </w:tblPrEx>
        <w:tc>
          <w:tcPr>
            <w:tcW w:w="699" w:type="dxa"/>
            <w:tcBorders>
              <w:top w:val="single" w:color="000000" w:sz="0" w:space="0"/>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№п/п</w:t>
            </w:r>
          </w:p>
        </w:tc>
        <w:tc>
          <w:tcPr>
            <w:tcW w:w="3279" w:type="dxa"/>
            <w:tcBorders>
              <w:top w:val="single" w:color="000000" w:sz="0" w:space="0"/>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Наименование объекта культурного наследия</w:t>
            </w:r>
          </w:p>
        </w:tc>
        <w:tc>
          <w:tcPr>
            <w:tcW w:w="2007" w:type="dxa"/>
            <w:tcBorders>
              <w:top w:val="single" w:color="000000" w:sz="0" w:space="0"/>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Адрес объекта</w:t>
            </w:r>
          </w:p>
        </w:tc>
        <w:tc>
          <w:tcPr>
            <w:tcW w:w="1995" w:type="dxa"/>
            <w:tcBorders>
              <w:top w:val="single" w:color="000000" w:sz="0" w:space="0"/>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Категория охраны</w:t>
            </w:r>
          </w:p>
        </w:tc>
        <w:tc>
          <w:tcPr>
            <w:tcW w:w="1920" w:type="dxa"/>
            <w:tcBorders>
              <w:top w:val="single" w:color="000000" w:sz="0" w:space="0"/>
              <w:left w:val="single" w:color="000000" w:sz="0" w:space="0"/>
              <w:bottom w:val="single" w:color="000000" w:sz="0" w:space="0"/>
              <w:right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Вид памятника</w:t>
            </w:r>
          </w:p>
        </w:tc>
      </w:tr>
      <w:tr>
        <w:tblPrEx>
          <w:tblLayout w:type="fixed"/>
          <w:tblCellMar>
            <w:top w:w="55" w:type="dxa"/>
            <w:left w:w="55" w:type="dxa"/>
            <w:bottom w:w="55" w:type="dxa"/>
            <w:right w:w="55" w:type="dxa"/>
          </w:tblCellMar>
        </w:tblPrEx>
        <w:tc>
          <w:tcPr>
            <w:tcW w:w="699" w:type="dxa"/>
            <w:tcBorders>
              <w:left w:val="single" w:color="000000" w:sz="0" w:space="0"/>
              <w:bottom w:val="single" w:color="000000" w:sz="0" w:space="0"/>
            </w:tcBorders>
          </w:tcPr>
          <w:p>
            <w:pPr>
              <w:spacing w:after="0"/>
              <w:jc w:val="center"/>
              <w:rPr>
                <w:rFonts w:ascii="Times New Roman" w:hAnsi="Times New Roman" w:eastAsia="Times New Roman" w:cs="Times New Roman"/>
                <w:i/>
                <w:iCs/>
                <w:lang w:eastAsia="ru-RU"/>
              </w:rPr>
            </w:pPr>
            <w:r>
              <w:rPr>
                <w:rFonts w:ascii="Times New Roman" w:hAnsi="Times New Roman" w:eastAsia="Times New Roman" w:cs="Times New Roman"/>
                <w:i/>
                <w:iCs/>
                <w:lang w:eastAsia="ru-RU"/>
              </w:rPr>
              <w:t>1</w:t>
            </w:r>
          </w:p>
        </w:tc>
        <w:tc>
          <w:tcPr>
            <w:tcW w:w="3279" w:type="dxa"/>
            <w:tcBorders>
              <w:left w:val="single" w:color="000000" w:sz="0" w:space="0"/>
              <w:bottom w:val="single" w:color="000000" w:sz="0" w:space="0"/>
            </w:tcBorders>
          </w:tcPr>
          <w:p>
            <w:pPr>
              <w:spacing w:after="0"/>
              <w:jc w:val="center"/>
              <w:rPr>
                <w:rFonts w:ascii="Times New Roman" w:hAnsi="Times New Roman" w:eastAsia="Times New Roman" w:cs="Times New Roman"/>
                <w:i/>
                <w:iCs/>
                <w:lang w:eastAsia="ru-RU"/>
              </w:rPr>
            </w:pPr>
            <w:r>
              <w:rPr>
                <w:rFonts w:ascii="Times New Roman" w:hAnsi="Times New Roman" w:eastAsia="Times New Roman" w:cs="Times New Roman"/>
                <w:i/>
                <w:iCs/>
                <w:lang w:eastAsia="ru-RU"/>
              </w:rPr>
              <w:t>2</w:t>
            </w:r>
          </w:p>
        </w:tc>
        <w:tc>
          <w:tcPr>
            <w:tcW w:w="2007" w:type="dxa"/>
            <w:tcBorders>
              <w:left w:val="single" w:color="000000" w:sz="0" w:space="0"/>
              <w:bottom w:val="single" w:color="000000" w:sz="0" w:space="0"/>
            </w:tcBorders>
          </w:tcPr>
          <w:p>
            <w:pPr>
              <w:spacing w:after="0"/>
              <w:jc w:val="center"/>
              <w:rPr>
                <w:rFonts w:ascii="Times New Roman" w:hAnsi="Times New Roman" w:eastAsia="Times New Roman" w:cs="Times New Roman"/>
                <w:i/>
                <w:iCs/>
                <w:lang w:eastAsia="ru-RU"/>
              </w:rPr>
            </w:pPr>
            <w:r>
              <w:rPr>
                <w:rFonts w:ascii="Times New Roman" w:hAnsi="Times New Roman" w:eastAsia="Times New Roman" w:cs="Times New Roman"/>
                <w:i/>
                <w:iCs/>
                <w:lang w:eastAsia="ru-RU"/>
              </w:rPr>
              <w:t>3</w:t>
            </w:r>
          </w:p>
        </w:tc>
        <w:tc>
          <w:tcPr>
            <w:tcW w:w="1995" w:type="dxa"/>
            <w:tcBorders>
              <w:left w:val="single" w:color="000000" w:sz="0" w:space="0"/>
              <w:bottom w:val="single" w:color="000000" w:sz="0" w:space="0"/>
            </w:tcBorders>
          </w:tcPr>
          <w:p>
            <w:pPr>
              <w:spacing w:after="0"/>
              <w:jc w:val="center"/>
              <w:rPr>
                <w:rFonts w:ascii="Times New Roman" w:hAnsi="Times New Roman" w:eastAsia="Times New Roman" w:cs="Times New Roman"/>
                <w:i/>
                <w:iCs/>
                <w:lang w:eastAsia="ru-RU"/>
              </w:rPr>
            </w:pPr>
            <w:r>
              <w:rPr>
                <w:rFonts w:ascii="Times New Roman" w:hAnsi="Times New Roman" w:eastAsia="Times New Roman" w:cs="Times New Roman"/>
                <w:i/>
                <w:iCs/>
                <w:lang w:eastAsia="ru-RU"/>
              </w:rPr>
              <w:t>4</w:t>
            </w:r>
          </w:p>
        </w:tc>
        <w:tc>
          <w:tcPr>
            <w:tcW w:w="1920" w:type="dxa"/>
            <w:tcBorders>
              <w:left w:val="single" w:color="000000" w:sz="0" w:space="0"/>
              <w:bottom w:val="single" w:color="000000" w:sz="0" w:space="0"/>
              <w:right w:val="single" w:color="000000" w:sz="0" w:space="0"/>
            </w:tcBorders>
          </w:tcPr>
          <w:p>
            <w:pPr>
              <w:spacing w:after="0"/>
              <w:jc w:val="center"/>
              <w:rPr>
                <w:rFonts w:ascii="Times New Roman" w:hAnsi="Times New Roman" w:eastAsia="Times New Roman" w:cs="Times New Roman"/>
                <w:i/>
                <w:iCs/>
                <w:lang w:eastAsia="ru-RU"/>
              </w:rPr>
            </w:pPr>
            <w:r>
              <w:rPr>
                <w:rFonts w:ascii="Times New Roman" w:hAnsi="Times New Roman" w:eastAsia="Times New Roman" w:cs="Times New Roman"/>
                <w:i/>
                <w:iCs/>
                <w:lang w:eastAsia="ru-RU"/>
              </w:rPr>
              <w:t>5</w:t>
            </w:r>
          </w:p>
        </w:tc>
      </w:tr>
      <w:tr>
        <w:tblPrEx>
          <w:tblLayout w:type="fixed"/>
          <w:tblCellMar>
            <w:top w:w="55" w:type="dxa"/>
            <w:left w:w="55" w:type="dxa"/>
            <w:bottom w:w="55" w:type="dxa"/>
            <w:right w:w="55" w:type="dxa"/>
          </w:tblCellMar>
        </w:tblPrEx>
        <w:tc>
          <w:tcPr>
            <w:tcW w:w="699" w:type="dxa"/>
            <w:tcBorders>
              <w:left w:val="single" w:color="000000" w:sz="0" w:space="0"/>
              <w:bottom w:val="single" w:color="000000" w:sz="0" w:space="0"/>
            </w:tcBorders>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3279"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Памятник - обелиск П.Ф. Соболеву (1889 – 1919 гг.) погибшему в борьбе с врагами за советскую власть</w:t>
            </w:r>
          </w:p>
        </w:tc>
        <w:tc>
          <w:tcPr>
            <w:tcW w:w="2007"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Колшево с., Колшевское с.п.</w:t>
            </w:r>
          </w:p>
        </w:tc>
        <w:tc>
          <w:tcPr>
            <w:tcW w:w="1995"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Региональная.</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Решение Иванов-ского облиспол-кома № 465</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от 31.05.1965 г. </w:t>
            </w:r>
          </w:p>
        </w:tc>
        <w:tc>
          <w:tcPr>
            <w:tcW w:w="1920" w:type="dxa"/>
            <w:tcBorders>
              <w:left w:val="single" w:color="000000" w:sz="0" w:space="0"/>
              <w:bottom w:val="single" w:color="000000" w:sz="0" w:space="0"/>
              <w:right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Монументальное искусство.</w:t>
            </w:r>
          </w:p>
        </w:tc>
      </w:tr>
      <w:tr>
        <w:tblPrEx>
          <w:tblLayout w:type="fixed"/>
        </w:tblPrEx>
        <w:tc>
          <w:tcPr>
            <w:tcW w:w="699" w:type="dxa"/>
            <w:tcBorders>
              <w:left w:val="single" w:color="000000" w:sz="0" w:space="0"/>
              <w:bottom w:val="single" w:color="000000" w:sz="0" w:space="0"/>
            </w:tcBorders>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3279"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Ансамбль центра села Колшево:</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Введенская церковь;</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сторожка при Введенской </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церкви;</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часовня Введенской церкви;</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 жилой дом</w:t>
            </w:r>
          </w:p>
        </w:tc>
        <w:tc>
          <w:tcPr>
            <w:tcW w:w="2007"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с.Колшево,</w:t>
            </w:r>
          </w:p>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Колшевское с.п.</w:t>
            </w:r>
          </w:p>
        </w:tc>
        <w:tc>
          <w:tcPr>
            <w:tcW w:w="1995" w:type="dxa"/>
            <w:tcBorders>
              <w:left w:val="single" w:color="000000" w:sz="0" w:space="0"/>
              <w:bottom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Выявленный объект культурного наследия</w:t>
            </w:r>
          </w:p>
        </w:tc>
        <w:tc>
          <w:tcPr>
            <w:tcW w:w="1920" w:type="dxa"/>
            <w:tcBorders>
              <w:left w:val="single" w:color="000000" w:sz="0" w:space="0"/>
              <w:bottom w:val="single" w:color="000000" w:sz="0" w:space="0"/>
              <w:right w:val="single" w:color="000000" w:sz="0" w:space="0"/>
            </w:tcBorders>
          </w:tcPr>
          <w:p>
            <w:pPr>
              <w:spacing w:after="0"/>
              <w:rPr>
                <w:rFonts w:ascii="Times New Roman" w:hAnsi="Times New Roman" w:eastAsia="Times New Roman" w:cs="Times New Roman"/>
                <w:lang w:eastAsia="ru-RU"/>
              </w:rPr>
            </w:pPr>
            <w:r>
              <w:rPr>
                <w:rFonts w:ascii="Times New Roman" w:hAnsi="Times New Roman" w:eastAsia="Times New Roman" w:cs="Times New Roman"/>
                <w:lang w:eastAsia="ru-RU"/>
              </w:rPr>
              <w:t>Архитектура.</w:t>
            </w:r>
          </w:p>
        </w:tc>
      </w:tr>
    </w:tbl>
    <w:p>
      <w:pPr>
        <w:spacing w:after="0"/>
        <w:jc w:val="both"/>
        <w:rPr>
          <w:rFonts w:ascii="Times New Roman" w:hAnsi="Times New Roman" w:eastAsia="Times New Roman" w:cs="Times New Roman"/>
          <w:sz w:val="24"/>
          <w:szCs w:val="24"/>
          <w:lang w:eastAsia="ru-RU"/>
        </w:rPr>
      </w:pPr>
    </w:p>
    <w:p>
      <w:pPr>
        <w:spacing w:before="100" w:beforeAutospacing="1" w:after="100" w:afterAutospacing="1"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Решением исполнительного комитета Ивановского областного Совета народных депутатов от 16.07.1973 № 408 на территории Дмитриевского сельского поселения утвержден проект охранной зоны ансамбля культовых и гражданских зданий 18-19 века в селе Колшево:</w:t>
      </w:r>
    </w:p>
    <w:p>
      <w:pPr>
        <w:spacing w:before="100" w:beforeAutospacing="1"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  Территория памятника архитектуры–церковного комплекса;</w:t>
      </w:r>
    </w:p>
    <w:p>
      <w:pPr>
        <w:numPr>
          <w:ilvl w:val="0"/>
          <w:numId w:val="8"/>
        </w:num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Введенская церковь;</w:t>
      </w:r>
    </w:p>
    <w:p>
      <w:pPr>
        <w:numPr>
          <w:ilvl w:val="0"/>
          <w:numId w:val="8"/>
        </w:num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Часовня Введенской церкви;</w:t>
      </w:r>
    </w:p>
    <w:p>
      <w:pPr>
        <w:numPr>
          <w:ilvl w:val="0"/>
          <w:numId w:val="8"/>
        </w:num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Сторожка;</w:t>
      </w:r>
    </w:p>
    <w:p>
      <w:p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б) Памятник архитектуры жилой дом;</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в) Местный мемориал:</w:t>
      </w:r>
    </w:p>
    <w:p>
      <w:pPr>
        <w:numPr>
          <w:ilvl w:val="0"/>
          <w:numId w:val="9"/>
        </w:num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Памятник П.Ф. Соболеву;</w:t>
      </w:r>
    </w:p>
    <w:p>
      <w:pPr>
        <w:numPr>
          <w:ilvl w:val="0"/>
          <w:numId w:val="9"/>
        </w:num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Памятник погибшим в ВОВ 1941-1945г.</w:t>
      </w:r>
    </w:p>
    <w:p>
      <w:pPr>
        <w:spacing w:before="100" w:beforeAutospacing="1"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г) Жилая застройка села Колшево;</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д)  Столовая;</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е)  Магазин;</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ж) площадь села;</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з) Дом, в котором жил П.Ф. Соболев.</w:t>
      </w:r>
    </w:p>
    <w:p>
      <w:pPr>
        <w:spacing w:before="100" w:beforeAutospacing="1" w:after="0" w:line="240" w:lineRule="auto"/>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p>
    <w:p>
      <w:pPr>
        <w:spacing w:after="0"/>
        <w:ind w:left="709" w:firstLine="11"/>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2.2. ЭКОНОМИКО-ГЕОГРАФИЧЕСКОЕ ПОЛОЖЕНИЕ И ФАКТОРЫ РАЗВИТИЯ</w:t>
      </w:r>
    </w:p>
    <w:p>
      <w:pPr>
        <w:spacing w:after="0"/>
        <w:ind w:firstLine="851"/>
        <w:jc w:val="both"/>
        <w:rPr>
          <w:rFonts w:ascii="Times New Roman" w:hAnsi="Times New Roman" w:eastAsia="Times New Roman" w:cs="Times New Roman"/>
          <w:sz w:val="24"/>
          <w:szCs w:val="24"/>
          <w:lang w:eastAsia="ru-RU"/>
        </w:rPr>
      </w:pP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Дмитриевское сельское поселение расположено в северной части Ивановской области, граничит с Красносельским,  Судиславльским районами Костромской области с северо-запада, с Волжским сельским поселением Заволжского муниципального района – с юго-востока. Расстояние от центральной усадьбы поселения - с. Колшево до районного центра - г. Заволжск- 43 км, до областного центра - г. Иваново- 135 км, до г. Кострома- 43 км. Площадь поселения- 180 кв.км. Поселение расположено в бассейне левых притоков реки Волга. </w:t>
      </w:r>
    </w:p>
    <w:p>
      <w:pPr>
        <w:spacing w:after="0"/>
        <w:ind w:firstLine="540"/>
        <w:jc w:val="both"/>
        <w:rPr>
          <w:rFonts w:ascii="Times New Roman" w:hAnsi="Times New Roman" w:eastAsia="Times New Roman" w:cs="Times New Roman"/>
          <w:sz w:val="24"/>
          <w:lang w:eastAsia="ru-RU"/>
        </w:rPr>
      </w:pPr>
      <w:r>
        <w:rPr>
          <w:rFonts w:ascii="Calibri" w:hAnsi="Calibri" w:eastAsia="Times New Roman" w:cs="Times New Roman"/>
          <w:sz w:val="24"/>
          <w:lang w:eastAsia="ru-RU"/>
        </w:rPr>
        <w:t>В</w:t>
      </w:r>
      <w:r>
        <w:rPr>
          <w:rFonts w:ascii="Times New Roman" w:hAnsi="Times New Roman" w:eastAsia="Times New Roman" w:cs="Times New Roman"/>
          <w:sz w:val="24"/>
          <w:lang w:eastAsia="ru-RU"/>
        </w:rPr>
        <w:t>ажным градоформирующим фактором поселения являются транспортные коммуникации. По территории сельского поселения проходят автомобильная дорога общего пользования регионального значения  Заволжск - Кострома, автомобильная дорога общего пользования межмуниципального значения Посулово - Сногищево, автомобильные дороги местного значения Колшево — Лобаново, Колшево -Деревнище — Сокерино,</w:t>
      </w:r>
      <w:r>
        <w:rPr>
          <w:rFonts w:ascii="Times New Roman" w:hAnsi="Times New Roman" w:eastAsia="Times New Roman" w:cs="Times New Roman"/>
          <w:szCs w:val="20"/>
          <w:lang w:eastAsia="ru-RU"/>
        </w:rPr>
        <w:t xml:space="preserve"> </w:t>
      </w:r>
      <w:r>
        <w:rPr>
          <w:rFonts w:ascii="Times New Roman" w:hAnsi="Times New Roman" w:eastAsia="Times New Roman" w:cs="Times New Roman"/>
          <w:sz w:val="24"/>
          <w:lang w:eastAsia="ru-RU"/>
        </w:rPr>
        <w:t>Князево — Ивашево — Широково,</w:t>
      </w:r>
      <w:r>
        <w:rPr>
          <w:rFonts w:ascii="Times New Roman" w:hAnsi="Times New Roman" w:eastAsia="Times New Roman" w:cs="Times New Roman"/>
          <w:szCs w:val="20"/>
          <w:lang w:eastAsia="ru-RU"/>
        </w:rPr>
        <w:t xml:space="preserve"> </w:t>
      </w:r>
      <w:r>
        <w:rPr>
          <w:rFonts w:ascii="Times New Roman" w:hAnsi="Times New Roman" w:eastAsia="Times New Roman" w:cs="Times New Roman"/>
          <w:sz w:val="24"/>
          <w:lang w:eastAsia="ru-RU"/>
        </w:rPr>
        <w:t>Ивашево — Узорокино, Колшево — Шишкино — Михальцево, Нянькино - Лыково.</w:t>
      </w:r>
    </w:p>
    <w:p>
      <w:pPr>
        <w:spacing w:after="0"/>
        <w:ind w:firstLine="540"/>
        <w:jc w:val="both"/>
        <w:rPr>
          <w:rFonts w:ascii="Calibri" w:hAnsi="Calibri" w:eastAsia="Times New Roman" w:cs="Times New Roman"/>
          <w:lang w:eastAsia="ru-RU"/>
        </w:rPr>
      </w:pPr>
      <w:r>
        <w:rPr>
          <w:rFonts w:ascii="Times New Roman" w:hAnsi="Times New Roman" w:eastAsia="Times New Roman" w:cs="Times New Roman"/>
          <w:sz w:val="24"/>
          <w:szCs w:val="24"/>
          <w:lang w:eastAsia="ru-RU"/>
        </w:rPr>
        <w:t>Дмитриевское сельское поселение объединяет 33 населенных пунктов: два села - Кистега и Колшево, и 31 деревню: Аверино, Артюково, Безносово, Белоногово, Вострово, Вьюшково, Голочелово, Горянцево, Деревнище, Ивашево, Игнатцево, Князево, Корнилово, Крапивки, Лентьево, Лобаново, Лыково, Лысково, Михальцево, Нянькино, Поделово, Саловица, Селиверстово, Сокерино, Сорвирогово, Узорокино, Федосцыно, Чуприяново, Широково, Шишкино Малое, Ямново. Численность постоянно проживающего населения на 01.01.2012 год, на основе данных предоставленных администрацией Дмитриевского сельского поселения составляет 809 человек.</w:t>
      </w:r>
      <w:r>
        <w:rPr>
          <w:rFonts w:ascii="Calibri" w:hAnsi="Calibri" w:eastAsia="Times New Roman" w:cs="Times New Roman"/>
          <w:lang w:eastAsia="ru-RU"/>
        </w:rPr>
        <w:t xml:space="preserve">   </w:t>
      </w:r>
    </w:p>
    <w:p>
      <w:pPr>
        <w:spacing w:after="0" w:line="240" w:lineRule="auto"/>
        <w:ind w:firstLine="426"/>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 земли в границах поселения 37420  га, в т.ч. земли лесного фонда занимают 19667 га, земли сельхозназначения – 15296 га.</w:t>
      </w:r>
    </w:p>
    <w:p>
      <w:pPr>
        <w:spacing w:after="0"/>
        <w:ind w:firstLine="426"/>
        <w:jc w:val="both"/>
        <w:rPr>
          <w:rFonts w:ascii="Times New Roman" w:hAnsi="Times New Roman" w:eastAsia="Times New Roman" w:cs="Times New Roman"/>
          <w:sz w:val="24"/>
          <w:szCs w:val="24"/>
          <w:lang w:eastAsia="ru-RU"/>
        </w:rPr>
      </w:pP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Промышленность Дмитриевского сельского поселения представлена сельскохозяйственным предприятием  СПК «Колшево», занимающимся растениеводством и молочным животноводством.</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качестве позитивных факторов экономико-географического положения Дмитриевского сельского поселения выделяются следующие:</w:t>
      </w:r>
    </w:p>
    <w:p>
      <w:pPr>
        <w:numPr>
          <w:ilvl w:val="0"/>
          <w:numId w:val="10"/>
        </w:numPr>
        <w:tabs>
          <w:tab w:val="left" w:pos="-5040"/>
          <w:tab w:val="left" w:pos="0"/>
          <w:tab w:val="clear" w:pos="1440"/>
        </w:tabs>
        <w:spacing w:after="0" w:line="240" w:lineRule="auto"/>
        <w:ind w:left="0" w:firstLine="426"/>
        <w:jc w:val="both"/>
        <w:rPr>
          <w:rFonts w:ascii="Calibri" w:hAnsi="Calibri" w:eastAsia="Times New Roman" w:cs="Times New Roman"/>
          <w:lang w:eastAsia="ru-RU"/>
        </w:rPr>
      </w:pPr>
      <w:r>
        <w:rPr>
          <w:rFonts w:ascii="Times New Roman" w:hAnsi="Times New Roman" w:eastAsia="Times New Roman" w:cs="Times New Roman"/>
          <w:sz w:val="24"/>
          <w:szCs w:val="24"/>
          <w:lang w:eastAsia="ru-RU"/>
        </w:rPr>
        <w:t>расположение близ крупнейшей водной артерии Горьковского водохранилища;</w:t>
      </w:r>
      <w:r>
        <w:rPr>
          <w:rFonts w:ascii="Calibri" w:hAnsi="Calibri" w:eastAsia="Times New Roman" w:cs="Times New Roman"/>
          <w:lang w:eastAsia="ru-RU"/>
        </w:rPr>
        <w:t xml:space="preserve"> </w:t>
      </w:r>
    </w:p>
    <w:p>
      <w:pPr>
        <w:numPr>
          <w:ilvl w:val="0"/>
          <w:numId w:val="10"/>
        </w:numPr>
        <w:tabs>
          <w:tab w:val="left" w:pos="-5040"/>
          <w:tab w:val="left" w:pos="0"/>
          <w:tab w:val="clear" w:pos="1440"/>
        </w:tabs>
        <w:spacing w:after="0" w:line="240" w:lineRule="auto"/>
        <w:ind w:left="0" w:firstLine="426"/>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развитая сеть автомобильных дорог, обеспечивающая транспортную связь поселения с  близлежащим центром района;</w:t>
      </w:r>
    </w:p>
    <w:p>
      <w:pPr>
        <w:numPr>
          <w:ilvl w:val="0"/>
          <w:numId w:val="10"/>
        </w:numPr>
        <w:tabs>
          <w:tab w:val="left" w:pos="-5040"/>
          <w:tab w:val="left" w:pos="0"/>
          <w:tab w:val="clear" w:pos="1440"/>
        </w:tabs>
        <w:spacing w:after="0" w:line="240" w:lineRule="auto"/>
        <w:ind w:left="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большинство лесов поселения – эксплуатационные, основным назначением которых является заготовка древесины и недревесных лесных ресурсов;</w:t>
      </w:r>
    </w:p>
    <w:p>
      <w:pPr>
        <w:numPr>
          <w:ilvl w:val="0"/>
          <w:numId w:val="10"/>
        </w:numPr>
        <w:tabs>
          <w:tab w:val="left" w:pos="-5040"/>
          <w:tab w:val="left" w:pos="0"/>
          <w:tab w:val="clear" w:pos="1440"/>
        </w:tabs>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достаточно высокий рекреационный потенциал поселения и выражается в наличии на территории многочисленных рек. Поселение располагает обширными грибными, ягодными и охотничьими угодьями;</w:t>
      </w:r>
    </w:p>
    <w:p>
      <w:pPr>
        <w:numPr>
          <w:ilvl w:val="0"/>
          <w:numId w:val="10"/>
        </w:numPr>
        <w:tabs>
          <w:tab w:val="left" w:pos="-5040"/>
          <w:tab w:val="left" w:pos="0"/>
          <w:tab w:val="clear" w:pos="1440"/>
        </w:tabs>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 рельефа благоприятный для строительства транспортных магистралей, зданий и сооружений.</w:t>
      </w:r>
    </w:p>
    <w:p>
      <w:pPr>
        <w:spacing w:after="0" w:line="240" w:lineRule="auto"/>
        <w:ind w:firstLine="72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 отрицательным факторам следует отнести: </w:t>
      </w:r>
    </w:p>
    <w:p>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упадок численности населения в последние годы;</w:t>
      </w:r>
    </w:p>
    <w:p>
      <w:pPr>
        <w:numPr>
          <w:ilvl w:val="0"/>
          <w:numId w:val="10"/>
        </w:numPr>
        <w:tabs>
          <w:tab w:val="left" w:pos="709"/>
          <w:tab w:val="left" w:pos="851"/>
          <w:tab w:val="clear" w:pos="1440"/>
        </w:tabs>
        <w:spacing w:after="0" w:line="240" w:lineRule="auto"/>
        <w:ind w:left="426" w:firstLine="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отток трудоспособного населения;</w:t>
      </w:r>
    </w:p>
    <w:p>
      <w:pPr>
        <w:numPr>
          <w:ilvl w:val="0"/>
          <w:numId w:val="10"/>
        </w:numPr>
        <w:tabs>
          <w:tab w:val="left" w:pos="709"/>
          <w:tab w:val="left" w:pos="851"/>
          <w:tab w:val="clear" w:pos="1440"/>
        </w:tabs>
        <w:spacing w:after="0" w:line="240" w:lineRule="auto"/>
        <w:ind w:left="426" w:firstLine="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недостаток рабочих мест в экономике поселения;</w:t>
      </w:r>
    </w:p>
    <w:p>
      <w:pPr>
        <w:numPr>
          <w:ilvl w:val="0"/>
          <w:numId w:val="10"/>
        </w:numPr>
        <w:tabs>
          <w:tab w:val="left" w:pos="709"/>
          <w:tab w:val="left" w:pos="851"/>
          <w:tab w:val="clear" w:pos="1440"/>
        </w:tabs>
        <w:spacing w:after="0" w:line="240" w:lineRule="auto"/>
        <w:ind w:left="426" w:firstLine="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невысокая оплата труда наемных рабочих.</w:t>
      </w:r>
    </w:p>
    <w:p>
      <w:pPr>
        <w:spacing w:after="0" w:line="240" w:lineRule="auto"/>
        <w:ind w:firstLine="708"/>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 слагающие экономико-географического положения свидетельствуют об относительно благоприятном экономико-географическом положении Дмитриевского сельского поселения на микро- (в отношении соседних поселений и районов) и макро- (в рамках Ивановской области) масштабах. Макроположение Дмитриевского сельского поселения относительно благоприятно, т.к. оно находится в основной освоенной полосе расселения России, на незначительном удалении от Костромы, Ярославля, Москвы, Владимира, Иванова. В целом, поселение имеет достаточный демографический, экономический и ресурсный потенциал для устойчивого поступательного развития.</w:t>
      </w:r>
    </w:p>
    <w:p>
      <w:pPr>
        <w:spacing w:after="0"/>
        <w:rPr>
          <w:rFonts w:ascii="Times New Roman" w:hAnsi="Times New Roman" w:eastAsia="Times New Roman" w:cs="Times New Roman"/>
          <w:b/>
          <w:sz w:val="28"/>
          <w:szCs w:val="28"/>
          <w:lang w:eastAsia="ru-RU"/>
        </w:rPr>
      </w:pPr>
    </w:p>
    <w:p>
      <w:pPr>
        <w:spacing w:after="0"/>
        <w:rPr>
          <w:rFonts w:ascii="Times New Roman" w:hAnsi="Times New Roman" w:eastAsia="Times New Roman" w:cs="Times New Roman"/>
          <w:b/>
          <w:sz w:val="28"/>
          <w:szCs w:val="28"/>
          <w:lang w:eastAsia="ru-RU"/>
        </w:rPr>
      </w:pPr>
    </w:p>
    <w:p>
      <w:pPr>
        <w:spacing w:after="0"/>
        <w:rPr>
          <w:rFonts w:ascii="Times New Roman" w:hAnsi="Times New Roman" w:eastAsia="Times New Roman" w:cs="Times New Roman"/>
          <w:b/>
          <w:sz w:val="28"/>
          <w:szCs w:val="28"/>
          <w:lang w:eastAsia="ru-RU"/>
        </w:rPr>
      </w:pPr>
    </w:p>
    <w:p>
      <w:pPr>
        <w:spacing w:after="0"/>
        <w:rPr>
          <w:rFonts w:ascii="Times New Roman" w:hAnsi="Times New Roman" w:eastAsia="Times New Roman" w:cs="Times New Roman"/>
          <w:b/>
          <w:sz w:val="28"/>
          <w:szCs w:val="28"/>
          <w:lang w:eastAsia="ru-RU"/>
        </w:rPr>
      </w:pPr>
    </w:p>
    <w:p>
      <w:pPr>
        <w:spacing w:after="0"/>
        <w:ind w:firstLine="709"/>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2.3. ПРИРОДНЫЕ УСЛОВИЯ И РЕСУРСЫ</w:t>
      </w:r>
    </w:p>
    <w:p>
      <w:pPr>
        <w:spacing w:after="0"/>
        <w:ind w:firstLine="709"/>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2.3.1. КЛИМАТИЧЕСКАЯ ХАРАКТЕРИСТИКА</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Климат Дмитриевского сельского поселения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среднемесячные температуры колеблются от -11,6</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в январе до +18,4</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в июле. Максимальная температура летом доходит до +35</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а абсолютный минимум температуры, зафиксированный на территории поселения, равен -46</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Продолжительность безморозного периода в среднем составляет 126 дней. Период с температурой воздуха выше 0</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 210 дней, а средняя температура лета достигает +16,6</w:t>
      </w:r>
      <w:r>
        <w:rPr>
          <w:rFonts w:ascii="Times New Roman" w:hAnsi="Times New Roman" w:eastAsia="Times New Roman" w:cs="Times New Roman"/>
          <w:sz w:val="24"/>
          <w:szCs w:val="24"/>
          <w:vertAlign w:val="superscript"/>
          <w:lang w:eastAsia="ru-RU"/>
        </w:rPr>
        <w:t>0</w:t>
      </w:r>
      <w:r>
        <w:rPr>
          <w:rFonts w:ascii="Times New Roman" w:hAnsi="Times New Roman" w:eastAsia="Times New Roman" w:cs="Times New Roman"/>
          <w:sz w:val="24"/>
          <w:szCs w:val="24"/>
          <w:lang w:eastAsia="ru-RU"/>
        </w:rPr>
        <w:t>С. Поселение находится под преимущественным воздействием воздушных масс умеренных широт, вторгающихся на Европейскую часть России из полярного бассейна. Эти воздушные массы имеют малое влагосодержание и низкие температуры, что вызывает весенние и осенние заморозки.</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Весной заморозки в среднем прекращаются в середине мая, средняя дата наступления первого заморозка осенью приходится на 17 сентября, а самый ранний заморозок отмечен 17 августа; самый последний весенний заморозок отмечен 11 июня. Продолжительность солнечного сияния за год — 1650 — 1680 часов. Число дней без солнца за год составляет в среднем 112 дней. В среднем за год выпадает 560-615 мм осадков. Общее количество дней с осадками в виде снега, дождя, града и т. п. - 196. Наиболее значительная облачность наблюдается осенью и зимой. Летом осадки чаще всего бывают в виде непродолжительных ливней. Грозы наблюдаются с мая по сентябрь, их нередко сопровождают шквальные ветры со скоростью 20-25 м в секунду.</w:t>
      </w:r>
      <w:r>
        <w:rPr>
          <w:rFonts w:ascii="Times New Roman" w:hAnsi="Times New Roman" w:eastAsia="Times New Roman" w:cs="Times New Roman"/>
          <w:sz w:val="24"/>
          <w:szCs w:val="24"/>
          <w:lang w:eastAsia="ru-RU"/>
        </w:rPr>
        <w:tab/>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Проникновение теплых континентальных масс с юго-востока Европейской части России ведет к резкому повышению температур, что может обуславливать ранние и интенсивные весенние оттепели, а летом — суховейные явления.</w:t>
      </w:r>
      <w:r>
        <w:rPr>
          <w:rFonts w:ascii="Times New Roman" w:hAnsi="Times New Roman" w:eastAsia="Times New Roman" w:cs="Times New Roman"/>
          <w:sz w:val="24"/>
          <w:szCs w:val="24"/>
          <w:lang w:eastAsia="ru-RU"/>
        </w:rPr>
        <w:tab/>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По планировочной оценке климата: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Дмитриевского сельского поселения благоприятна для хозяйственного освоения и строительства;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-благоприятны агроклиматические условия;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-климат поселения благоприятен для организации сезонного отдыха, возможен круглогодичный отдых. Благоприятно пребывание на открытом воздухе для здоровых людей.</w:t>
      </w:r>
    </w:p>
    <w:p>
      <w:pPr>
        <w:shd w:val="clear" w:color="auto" w:fill="FFFFFF"/>
        <w:tabs>
          <w:tab w:val="left" w:pos="1080"/>
        </w:tabs>
        <w:spacing w:after="0" w:line="317" w:lineRule="atLeast"/>
        <w:ind w:firstLine="709"/>
        <w:jc w:val="both"/>
        <w:rPr>
          <w:rFonts w:ascii="Times New Roman" w:hAnsi="Times New Roman" w:eastAsia="Times New Roman" w:cs="Times New Roman"/>
          <w:bCs/>
          <w:i/>
          <w:iCs/>
          <w:sz w:val="24"/>
          <w:szCs w:val="24"/>
          <w:lang w:eastAsia="ru-RU"/>
        </w:rPr>
      </w:pPr>
      <w:r>
        <w:rPr>
          <w:rFonts w:ascii="Times New Roman" w:hAnsi="Times New Roman" w:eastAsia="Times New Roman" w:cs="Times New Roman"/>
          <w:bCs/>
          <w:i/>
          <w:iCs/>
          <w:sz w:val="24"/>
          <w:szCs w:val="24"/>
          <w:lang w:eastAsia="ru-RU"/>
        </w:rPr>
        <w:t>Выводы:</w:t>
      </w:r>
    </w:p>
    <w:p>
      <w:pPr>
        <w:numPr>
          <w:ilvl w:val="0"/>
          <w:numId w:val="11"/>
        </w:numPr>
        <w:shd w:val="clear" w:color="auto" w:fill="FFFFFF"/>
        <w:tabs>
          <w:tab w:val="left" w:pos="1080"/>
        </w:tabs>
        <w:autoSpaceDE w:val="0"/>
        <w:autoSpaceDN w:val="0"/>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Дмитриевского сельского поселения относится к строительно-климатической зоне I</w:t>
      </w:r>
      <w:r>
        <w:rPr>
          <w:rFonts w:ascii="Times New Roman" w:hAnsi="Times New Roman" w:eastAsia="Times New Roman" w:cs="Times New Roman"/>
          <w:sz w:val="24"/>
          <w:szCs w:val="24"/>
          <w:lang w:val="en-US" w:eastAsia="ru-RU"/>
        </w:rPr>
        <w:t>I</w:t>
      </w:r>
      <w:r>
        <w:rPr>
          <w:rFonts w:ascii="Times New Roman" w:hAnsi="Times New Roman" w:eastAsia="Times New Roman" w:cs="Times New Roman"/>
          <w:sz w:val="24"/>
          <w:szCs w:val="24"/>
          <w:lang w:eastAsia="ru-RU"/>
        </w:rPr>
        <w:t>В (СНиП 23-01-99). Расчетные температуры для проектирования отопления и вентиляции соответственно равны -34</w:t>
      </w:r>
      <w:r>
        <w:rPr>
          <w:rFonts w:ascii="Times New Roman" w:hAnsi="Times New Roman" w:eastAsia="Times New Roman" w:cs="Times New Roman"/>
          <w:sz w:val="24"/>
          <w:szCs w:val="24"/>
          <w:vertAlign w:val="superscript"/>
          <w:lang w:eastAsia="ru-RU"/>
        </w:rPr>
        <w:t>о</w:t>
      </w:r>
      <w:r>
        <w:rPr>
          <w:rFonts w:ascii="Times New Roman" w:hAnsi="Times New Roman" w:eastAsia="Times New Roman" w:cs="Times New Roman"/>
          <w:sz w:val="24"/>
          <w:szCs w:val="24"/>
          <w:lang w:eastAsia="ru-RU"/>
        </w:rPr>
        <w:t>С и -5,6-6,0</w:t>
      </w:r>
      <w:r>
        <w:rPr>
          <w:rFonts w:ascii="Times New Roman" w:hAnsi="Times New Roman" w:eastAsia="Times New Roman" w:cs="Times New Roman"/>
          <w:sz w:val="24"/>
          <w:szCs w:val="24"/>
          <w:vertAlign w:val="superscript"/>
          <w:lang w:eastAsia="ru-RU"/>
        </w:rPr>
        <w:t>о</w:t>
      </w:r>
      <w:r>
        <w:rPr>
          <w:rFonts w:ascii="Times New Roman" w:hAnsi="Times New Roman" w:eastAsia="Times New Roman" w:cs="Times New Roman"/>
          <w:sz w:val="24"/>
          <w:szCs w:val="24"/>
          <w:lang w:eastAsia="ru-RU"/>
        </w:rPr>
        <w:t>С. Продолжительность отопительного периода составляет 221 день.</w:t>
      </w:r>
    </w:p>
    <w:p>
      <w:pPr>
        <w:numPr>
          <w:ilvl w:val="0"/>
          <w:numId w:val="11"/>
        </w:numPr>
        <w:shd w:val="clear" w:color="auto" w:fill="FFFFFF"/>
        <w:tabs>
          <w:tab w:val="left" w:pos="1080"/>
        </w:tabs>
        <w:autoSpaceDE w:val="0"/>
        <w:autoSpaceDN w:val="0"/>
        <w:spacing w:after="0" w:line="240" w:lineRule="auto"/>
        <w:ind w:left="0"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sz w:val="24"/>
          <w:szCs w:val="24"/>
          <w:lang w:eastAsia="ru-RU"/>
        </w:rPr>
        <w:t xml:space="preserve">Холодная и длительная зима обуславливает необходимость максимальной теплоизоляции зданий и сооружений. </w:t>
      </w:r>
    </w:p>
    <w:p>
      <w:pPr>
        <w:numPr>
          <w:ilvl w:val="0"/>
          <w:numId w:val="11"/>
        </w:numPr>
        <w:shd w:val="clear" w:color="auto" w:fill="FFFFFF"/>
        <w:tabs>
          <w:tab w:val="left" w:pos="1080"/>
        </w:tabs>
        <w:spacing w:after="0" w:line="240" w:lineRule="auto"/>
        <w:ind w:left="0" w:firstLine="709"/>
        <w:jc w:val="both"/>
        <w:rPr>
          <w:rFonts w:ascii="Times New Roman" w:hAnsi="Times New Roman" w:eastAsia="Times New Roman" w:cs="Times New Roman"/>
          <w:spacing w:val="-1"/>
          <w:sz w:val="24"/>
          <w:szCs w:val="24"/>
          <w:lang w:eastAsia="ru-RU"/>
        </w:rPr>
      </w:pPr>
      <w:r>
        <w:rPr>
          <w:rFonts w:ascii="Times New Roman" w:hAnsi="Times New Roman" w:eastAsia="Times New Roman" w:cs="Times New Roman"/>
          <w:spacing w:val="-1"/>
          <w:sz w:val="24"/>
          <w:szCs w:val="24"/>
          <w:lang w:eastAsia="ru-RU"/>
        </w:rPr>
        <w:t>Территория поселения характеризуется относительно благоприятными условиями рассеивания примесей загрязняющих веществ.</w:t>
      </w:r>
    </w:p>
    <w:p>
      <w:pPr>
        <w:numPr>
          <w:ilvl w:val="0"/>
          <w:numId w:val="11"/>
        </w:numPr>
        <w:shd w:val="clear" w:color="auto" w:fill="FFFFFF"/>
        <w:tabs>
          <w:tab w:val="left" w:pos="1080"/>
        </w:tabs>
        <w:autoSpaceDE w:val="0"/>
        <w:autoSpaceDN w:val="0"/>
        <w:spacing w:after="0" w:line="240" w:lineRule="auto"/>
        <w:ind w:left="0"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Поселение относится к центральным природно-сельскохозяйственным бонитировочным районам и</w:t>
      </w:r>
      <w:r>
        <w:rPr>
          <w:rFonts w:ascii="Times New Roman" w:hAnsi="Times New Roman" w:eastAsia="Times New Roman" w:cs="Times New Roman"/>
          <w:spacing w:val="-1"/>
          <w:sz w:val="24"/>
          <w:szCs w:val="24"/>
          <w:lang w:eastAsia="ru-RU"/>
        </w:rPr>
        <w:t xml:space="preserve"> к зоне достаточного увлажнения.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pacing w:val="-1"/>
          <w:sz w:val="24"/>
          <w:szCs w:val="24"/>
          <w:lang w:eastAsia="ru-RU"/>
        </w:rPr>
        <w:t xml:space="preserve">Вегетационный период длится 162 дней (с 21 апреля по 1 октября), из которых 127 дней бывают со среднесуточной температурой воздуха выше 10 градусов. Обеспеченность осадками в вегетационный период </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pacing w:val="-1"/>
          <w:sz w:val="24"/>
          <w:szCs w:val="24"/>
          <w:lang w:eastAsia="ru-RU"/>
        </w:rPr>
        <w:t xml:space="preserve">до 470 мм. </w:t>
      </w:r>
      <w:r>
        <w:rPr>
          <w:rFonts w:ascii="Times New Roman" w:hAnsi="Times New Roman" w:eastAsia="Times New Roman" w:cs="Times New Roman"/>
          <w:sz w:val="24"/>
          <w:szCs w:val="24"/>
          <w:lang w:eastAsia="ru-RU"/>
        </w:rPr>
        <w:t xml:space="preserve">Природно-климатические условия освоения территории поселения характеризуются благоприятной ситуацией для возделывания </w:t>
      </w:r>
      <w:r>
        <w:rPr>
          <w:rFonts w:ascii="Times New Roman" w:hAnsi="Times New Roman" w:eastAsia="Times New Roman" w:cs="Times New Roman"/>
          <w:bCs/>
          <w:iCs/>
          <w:sz w:val="24"/>
          <w:szCs w:val="24"/>
          <w:lang w:eastAsia="ru-RU"/>
        </w:rPr>
        <w:t>зерновых (преимущественно, фуражных), кормовых, овощных культур, льна и картофеля</w:t>
      </w:r>
      <w:r>
        <w:rPr>
          <w:rFonts w:ascii="Times New Roman" w:hAnsi="Times New Roman" w:eastAsia="Times New Roman" w:cs="Times New Roman"/>
          <w:sz w:val="24"/>
          <w:szCs w:val="24"/>
          <w:lang w:eastAsia="ru-RU"/>
        </w:rPr>
        <w:t xml:space="preserve">. </w:t>
      </w:r>
    </w:p>
    <w:p>
      <w:pPr>
        <w:numPr>
          <w:ilvl w:val="0"/>
          <w:numId w:val="11"/>
        </w:numPr>
        <w:shd w:val="clear" w:color="auto" w:fill="FFFFFF"/>
        <w:tabs>
          <w:tab w:val="left" w:pos="1080"/>
        </w:tabs>
        <w:autoSpaceDE w:val="0"/>
        <w:autoSpaceDN w:val="0"/>
        <w:spacing w:after="0" w:line="240" w:lineRule="auto"/>
        <w:ind w:left="0"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Комфортный период для отдыха в среднем за год составляет 180 дней. Летний комфортный период продолжается 50</w:t>
      </w:r>
      <w:r>
        <w:rPr>
          <w:rFonts w:ascii="Times New Roman" w:hAnsi="Times New Roman" w:eastAsia="Times New Roman" w:cs="Times New Roman"/>
          <w:spacing w:val="-2"/>
          <w:sz w:val="24"/>
          <w:szCs w:val="24"/>
          <w:lang w:eastAsia="ru-RU"/>
        </w:rPr>
        <w:t>–</w:t>
      </w:r>
      <w:r>
        <w:rPr>
          <w:rFonts w:ascii="Times New Roman" w:hAnsi="Times New Roman" w:eastAsia="Times New Roman" w:cs="Times New Roman"/>
          <w:sz w:val="24"/>
          <w:szCs w:val="24"/>
          <w:lang w:eastAsia="ru-RU"/>
        </w:rPr>
        <w:t>60 дней со второй декады июня по вторую декаду августа. Зимой комфортный период продолжается в среднем 120 дней.</w:t>
      </w:r>
    </w:p>
    <w:p>
      <w:pPr>
        <w:spacing w:after="0"/>
        <w:ind w:firstLine="426"/>
        <w:jc w:val="both"/>
        <w:rPr>
          <w:rFonts w:ascii="Times New Roman" w:hAnsi="Times New Roman" w:eastAsia="Times New Roman" w:cs="Times New Roman"/>
          <w:b/>
          <w:sz w:val="24"/>
          <w:szCs w:val="24"/>
          <w:lang w:eastAsia="ru-RU"/>
        </w:rPr>
      </w:pPr>
    </w:p>
    <w:p>
      <w:pPr>
        <w:shd w:val="clear" w:color="auto" w:fill="FFFFFF"/>
        <w:tabs>
          <w:tab w:val="left" w:pos="1080"/>
        </w:tabs>
        <w:autoSpaceDE w:val="0"/>
        <w:autoSpaceDN w:val="0"/>
        <w:spacing w:after="0" w:line="240" w:lineRule="auto"/>
        <w:ind w:left="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2.3.2. ГИДРОЛОГИЧЕСКАЯ ХАРАКТЕРИСТИКА. РЕСУРСЫ ПОВЕРХНОСТНЫХ ВОД.</w:t>
      </w:r>
    </w:p>
    <w:p>
      <w:pPr>
        <w:spacing w:after="0"/>
        <w:ind w:firstLine="426"/>
        <w:jc w:val="both"/>
        <w:rPr>
          <w:rFonts w:ascii="Times New Roman" w:hAnsi="Times New Roman" w:eastAsia="Times New Roman" w:cs="Times New Roman"/>
          <w:b/>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Дмитриевского сельского поселения располагается в бассейне р. Волга и её притоков: Кистега (41 км), Локша (31 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Реки текут в хорошо разработанных долинах, имеют равнинный тип с малым уклоном и сравнительно спокойным течением. Основной источник их питания — весенние талые воды, которые составляют 60% годового стока, а также дождевая вода — преимущественно летом и осенью. Зимой и в засушливые периоды реки питаются за счет грунтовых вод. В жаркое засушливое лето русла малых речек пересыхают. Большинство рек берет начало от родников, в них впадают ручьи, также питающиеся ключами. 60-70% годового стока воды проходит в период половодья — в апреле-мае. Ледостав рек происходит во время установления устойчивой отрицательной температуры. Толщина ледового покрова 20-60 см. Вскрываются реки обычно в середине апреля. Ледовый покров некоторых рек не бывает сплошным, т. к. на дне их зимой продолжают бить ключи. Весеннее половодье очень бурное, хотя и кратковременное. Летние дождевые паводки не часты и незначительны. </w:t>
      </w:r>
    </w:p>
    <w:p>
      <w:pPr>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Наиболее крупные водотоки Дмитриевского сельского поселения:</w:t>
      </w:r>
    </w:p>
    <w:tbl>
      <w:tblPr>
        <w:tblStyle w:val="22"/>
        <w:tblW w:w="9223" w:type="dxa"/>
        <w:tblInd w:w="55" w:type="dxa"/>
        <w:tblLayout w:type="fixed"/>
        <w:tblCellMar>
          <w:top w:w="55" w:type="dxa"/>
          <w:left w:w="55" w:type="dxa"/>
          <w:bottom w:w="55" w:type="dxa"/>
          <w:right w:w="55" w:type="dxa"/>
        </w:tblCellMar>
      </w:tblPr>
      <w:tblGrid>
        <w:gridCol w:w="744"/>
        <w:gridCol w:w="2430"/>
        <w:gridCol w:w="2680"/>
        <w:gridCol w:w="1951"/>
        <w:gridCol w:w="1418"/>
      </w:tblGrid>
      <w:tr>
        <w:tblPrEx>
          <w:tblLayout w:type="fixed"/>
          <w:tblCellMar>
            <w:top w:w="55" w:type="dxa"/>
            <w:left w:w="55" w:type="dxa"/>
            <w:bottom w:w="55" w:type="dxa"/>
            <w:right w:w="55" w:type="dxa"/>
          </w:tblCellMar>
        </w:tblPrEx>
        <w:trPr>
          <w:cantSplit/>
          <w:trHeight w:val="279" w:hRule="atLeast"/>
        </w:trPr>
        <w:tc>
          <w:tcPr>
            <w:tcW w:w="744"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b/>
                <w:kern w:val="1"/>
                <w:lang w:eastAsia="ru-RU"/>
              </w:rPr>
            </w:pPr>
            <w:r>
              <w:rPr>
                <w:rFonts w:ascii="Times New Roman" w:hAnsi="Times New Roman" w:eastAsia="Arial Unicode MS" w:cs="Times New Roman"/>
                <w:b/>
                <w:kern w:val="1"/>
                <w:lang w:eastAsia="ru-RU"/>
              </w:rPr>
              <w:t>№ п/п</w:t>
            </w:r>
          </w:p>
        </w:tc>
        <w:tc>
          <w:tcPr>
            <w:tcW w:w="243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b/>
                <w:kern w:val="1"/>
                <w:lang w:eastAsia="ru-RU"/>
              </w:rPr>
            </w:pPr>
            <w:r>
              <w:rPr>
                <w:rFonts w:ascii="Times New Roman" w:hAnsi="Times New Roman" w:eastAsia="Arial Unicode MS" w:cs="Times New Roman"/>
                <w:b/>
                <w:kern w:val="1"/>
                <w:lang w:eastAsia="ru-RU"/>
              </w:rPr>
              <w:t>Наименование водотока</w:t>
            </w:r>
          </w:p>
        </w:tc>
        <w:tc>
          <w:tcPr>
            <w:tcW w:w="268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b/>
                <w:kern w:val="1"/>
                <w:lang w:eastAsia="ru-RU"/>
              </w:rPr>
            </w:pPr>
            <w:r>
              <w:rPr>
                <w:rFonts w:ascii="Times New Roman" w:hAnsi="Times New Roman" w:eastAsia="Arial Unicode MS" w:cs="Times New Roman"/>
                <w:b/>
                <w:kern w:val="1"/>
                <w:lang w:eastAsia="ru-RU"/>
              </w:rPr>
              <w:t>Куда впадает и с какого берега</w:t>
            </w:r>
          </w:p>
        </w:tc>
        <w:tc>
          <w:tcPr>
            <w:tcW w:w="1951"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b/>
                <w:kern w:val="1"/>
                <w:lang w:eastAsia="ru-RU"/>
              </w:rPr>
            </w:pPr>
            <w:r>
              <w:rPr>
                <w:rFonts w:ascii="Times New Roman" w:hAnsi="Times New Roman" w:eastAsia="Arial Unicode MS" w:cs="Times New Roman"/>
                <w:b/>
                <w:kern w:val="1"/>
                <w:lang w:eastAsia="ru-RU"/>
              </w:rPr>
              <w:t>Протяженность водотока</w:t>
            </w:r>
          </w:p>
        </w:tc>
        <w:tc>
          <w:tcPr>
            <w:tcW w:w="1418" w:type="dxa"/>
            <w:tcBorders>
              <w:top w:val="single" w:color="000000" w:sz="0" w:space="0"/>
              <w:left w:val="single" w:color="000000" w:sz="0" w:space="0"/>
              <w:bottom w:val="single" w:color="000000" w:sz="0" w:space="0"/>
              <w:right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b/>
                <w:kern w:val="1"/>
                <w:lang w:eastAsia="ru-RU"/>
              </w:rPr>
            </w:pPr>
            <w:r>
              <w:rPr>
                <w:rFonts w:ascii="Times New Roman" w:hAnsi="Times New Roman" w:eastAsia="Arial Unicode MS" w:cs="Times New Roman"/>
                <w:b/>
                <w:kern w:val="1"/>
                <w:lang w:eastAsia="ru-RU"/>
              </w:rPr>
              <w:t>Площадь водосбора, км2</w:t>
            </w:r>
          </w:p>
        </w:tc>
      </w:tr>
      <w:tr>
        <w:tblPrEx>
          <w:tblLayout w:type="fixed"/>
          <w:tblCellMar>
            <w:top w:w="55" w:type="dxa"/>
            <w:left w:w="55" w:type="dxa"/>
            <w:bottom w:w="55" w:type="dxa"/>
            <w:right w:w="55" w:type="dxa"/>
          </w:tblCellMar>
        </w:tblPrEx>
        <w:trPr>
          <w:cantSplit/>
          <w:trHeight w:val="279" w:hRule="atLeast"/>
        </w:trPr>
        <w:tc>
          <w:tcPr>
            <w:tcW w:w="744"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1</w:t>
            </w:r>
          </w:p>
        </w:tc>
        <w:tc>
          <w:tcPr>
            <w:tcW w:w="2430"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Кистега</w:t>
            </w:r>
          </w:p>
        </w:tc>
        <w:tc>
          <w:tcPr>
            <w:tcW w:w="2680"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Горьковское в-ще, лев</w:t>
            </w:r>
          </w:p>
        </w:tc>
        <w:tc>
          <w:tcPr>
            <w:tcW w:w="1951"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41</w:t>
            </w:r>
          </w:p>
        </w:tc>
        <w:tc>
          <w:tcPr>
            <w:tcW w:w="1418" w:type="dxa"/>
            <w:tcBorders>
              <w:left w:val="single" w:color="000000" w:sz="0" w:space="0"/>
              <w:bottom w:val="single" w:color="000000" w:sz="0" w:space="0"/>
              <w:right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206</w:t>
            </w:r>
          </w:p>
        </w:tc>
      </w:tr>
      <w:tr>
        <w:tblPrEx>
          <w:tblLayout w:type="fixed"/>
          <w:tblCellMar>
            <w:top w:w="55" w:type="dxa"/>
            <w:left w:w="55" w:type="dxa"/>
            <w:bottom w:w="55" w:type="dxa"/>
            <w:right w:w="55" w:type="dxa"/>
          </w:tblCellMar>
        </w:tblPrEx>
        <w:trPr>
          <w:cantSplit/>
          <w:trHeight w:val="279" w:hRule="atLeast"/>
        </w:trPr>
        <w:tc>
          <w:tcPr>
            <w:tcW w:w="744"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2</w:t>
            </w:r>
          </w:p>
        </w:tc>
        <w:tc>
          <w:tcPr>
            <w:tcW w:w="2430"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Локша</w:t>
            </w:r>
          </w:p>
        </w:tc>
        <w:tc>
          <w:tcPr>
            <w:tcW w:w="2680"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Горьковское в-ще</w:t>
            </w:r>
          </w:p>
        </w:tc>
        <w:tc>
          <w:tcPr>
            <w:tcW w:w="1951"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31</w:t>
            </w:r>
          </w:p>
        </w:tc>
        <w:tc>
          <w:tcPr>
            <w:tcW w:w="1418" w:type="dxa"/>
            <w:tcBorders>
              <w:left w:val="single" w:color="000000" w:sz="0" w:space="0"/>
              <w:bottom w:val="single" w:color="000000" w:sz="0" w:space="0"/>
              <w:right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98</w:t>
            </w:r>
          </w:p>
        </w:tc>
      </w:tr>
    </w:tbl>
    <w:p>
      <w:pPr>
        <w:spacing w:after="0"/>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поселения протекает 2 реки длиною более 20 км и значительное число мелких рек и ручьев, таких как: Покша, Сватовка, Греминка, Пучка, Черная, Сорож. Ручьи летом пересыхают, а зимой промерзают до дна. Притоки Волги — молодые реки, текущие часто в высоких берегах, причем берега у них неодинаковые: один пологий, другой — обрывистый. Реки поселения используются для водоснабжения. </w:t>
      </w:r>
    </w:p>
    <w:p>
      <w:pPr>
        <w:spacing w:after="0"/>
        <w:ind w:firstLine="426"/>
        <w:jc w:val="both"/>
        <w:rPr>
          <w:rFonts w:ascii="Times New Roman" w:hAnsi="Times New Roman" w:eastAsia="Times New Roman" w:cs="Times New Roman"/>
          <w:sz w:val="24"/>
          <w:szCs w:val="24"/>
          <w:lang w:eastAsia="ru-RU"/>
        </w:rPr>
      </w:pPr>
    </w:p>
    <w:p>
      <w:pPr>
        <w:spacing w:before="240" w:after="0"/>
        <w:ind w:firstLine="426"/>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2.3.3. МИНЕРАЛЬНО-СЫРЬЕВЫЕ РЕСУРСЫ И ПОЧВЕННЫЙ ПОКРОВ.</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поселении преобладают дерново-подзолистые почвы с различной степенью оподзоливания и разного механического состава. В низких местах с избыточным увлажнением, где преобладает луговая растительность, сложились дерново-подзолисто-гелеватые и дерново-подзолистые глеевые почвы. Под влаголюбивыми травами развились торфяники и торфяно-глеевые почвы. На холмах и склонах преобладают дерново-среднеподзолистые почвы с пятнами дерново-сильноподзолистых почв. Внизу склонов почвы обычно оглеены и имеют более тяжелый механический состав. В котловинах с избыточным увлажнением формируются перегнойно-торфяно-глеевые почвы с мощным гумусовым горизонтом. Почвы в Дмитриевском поселении малоплодородные. Содержание гумуса в них всего 1,6%.</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поселения является частью обширной Московской котловины, которая образовалась в палеозойскую эру в результате прогиба отложившихся к тому времени осадочных пород. На эти слои напластовались в ледниковый и послеледниковый периоды четвертичные суглинистые отложения. Формирование рельефа поселения относится ко второму ледниковому периоду.</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Полезные ископаемые довольно скудны. </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Кроме природных залежей песка и гравия, на территории поселения существует торфяное месторождение на северо-востоке от деревни Узорокино.</w:t>
      </w:r>
    </w:p>
    <w:p>
      <w:pPr>
        <w:spacing w:after="0"/>
        <w:ind w:firstLine="720"/>
        <w:jc w:val="both"/>
        <w:rPr>
          <w:rFonts w:ascii="Times New Roman" w:hAnsi="Times New Roman" w:eastAsia="Times New Roman" w:cs="Times New Roman"/>
          <w:b/>
          <w:i/>
          <w:color w:val="FF0000"/>
          <w:sz w:val="24"/>
          <w:szCs w:val="24"/>
          <w:lang w:eastAsia="ru-RU"/>
        </w:rPr>
      </w:pP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поселению проходят холмы конечно-моренной Галичско-Чухломской возвышенности, которая служит водоразделом левых притоков Волги. Доминируют ровные плакоры, пологие или, реже покатые склоны, широкие плоские и ложбинообразные понижения. Вследствие прохождения по территории морены, поверхности его западной и остальных частей различны. Отличается холмистым рельефом. Моренные холмы имеют размеры от 0,5 до 3,5 км в диаметре. Общее превышение гряд над равниной превышает в среднем 50 м. По форме они овальные или сильно вытянутые. Не залесненные склоны холмов подвержены линейной или плоскостной эрозии. Между холмами расположены замкнутые понижения, почвы которых излишне увлажнены или заболочены.</w:t>
      </w:r>
    </w:p>
    <w:p>
      <w:pPr>
        <w:spacing w:after="0"/>
        <w:jc w:val="both"/>
        <w:rPr>
          <w:rFonts w:ascii="Times New Roman" w:hAnsi="Times New Roman" w:eastAsia="Times New Roman" w:cs="Times New Roman"/>
          <w:sz w:val="24"/>
          <w:szCs w:val="24"/>
          <w:lang w:eastAsia="ru-RU"/>
        </w:rPr>
      </w:pPr>
    </w:p>
    <w:p>
      <w:pPr>
        <w:spacing w:after="0"/>
        <w:ind w:firstLine="426"/>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2.3.4. ЛЕСНЫЕ РЕСУРСЫ</w:t>
      </w:r>
    </w:p>
    <w:p>
      <w:pPr>
        <w:widowControl w:val="0"/>
        <w:spacing w:after="0" w:line="240" w:lineRule="auto"/>
        <w:ind w:firstLine="709"/>
        <w:contextualSpacing/>
        <w:jc w:val="both"/>
        <w:rPr>
          <w:rFonts w:ascii="Times New Roman" w:hAnsi="Times New Roman" w:eastAsia="Times New Roman" w:cs="Times New Roman"/>
          <w:sz w:val="24"/>
          <w:szCs w:val="24"/>
          <w:lang w:eastAsia="ru-RU"/>
        </w:rPr>
      </w:pPr>
    </w:p>
    <w:p>
      <w:pPr>
        <w:widowControl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Лесным кодексом Российской Федерации, основными территориальными единицами управления в области использования, охраны, защиты, воспроизводства лесов являются лесничества.</w:t>
      </w:r>
    </w:p>
    <w:p>
      <w:pPr>
        <w:widowControl w:val="0"/>
        <w:spacing w:after="0" w:line="240" w:lineRule="auto"/>
        <w:ind w:firstLine="709"/>
        <w:contextualSpacing/>
        <w:jc w:val="both"/>
        <w:rPr>
          <w:rFonts w:ascii="Times New Roman" w:hAnsi="Times New Roman" w:eastAsia="Times New Roman" w:cs="Times New Roman"/>
          <w:sz w:val="24"/>
          <w:szCs w:val="24"/>
          <w:lang w:eastAsia="ru-RU"/>
        </w:rPr>
      </w:pPr>
    </w:p>
    <w:p>
      <w:pPr>
        <w:widowControl w:val="0"/>
        <w:spacing w:after="0" w:line="240" w:lineRule="auto"/>
        <w:ind w:firstLine="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Информация о землях лесного фонда</w:t>
      </w:r>
    </w:p>
    <w:p>
      <w:pPr>
        <w:widowControl w:val="0"/>
        <w:spacing w:after="0" w:line="240" w:lineRule="auto"/>
        <w:ind w:firstLine="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На территории Дмитриевского сельского поселения</w:t>
      </w:r>
    </w:p>
    <w:p>
      <w:pPr>
        <w:widowControl w:val="0"/>
        <w:spacing w:after="0" w:line="240" w:lineRule="auto"/>
        <w:ind w:firstLine="709"/>
        <w:contextualSpacing/>
        <w:jc w:val="center"/>
        <w:rPr>
          <w:rFonts w:ascii="Times New Roman" w:hAnsi="Times New Roman" w:eastAsia="Times New Roman" w:cs="Times New Roman"/>
          <w:b/>
          <w:sz w:val="24"/>
          <w:szCs w:val="24"/>
          <w:lang w:eastAsia="ru-RU"/>
        </w:rPr>
      </w:pPr>
    </w:p>
    <w:tbl>
      <w:tblPr>
        <w:tblStyle w:val="2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1888"/>
        <w:gridCol w:w="1971"/>
        <w:gridCol w:w="1889"/>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1910"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Участковое </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лесничество</w:t>
            </w:r>
          </w:p>
        </w:tc>
        <w:tc>
          <w:tcPr>
            <w:tcW w:w="1888"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Площадь, </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га</w:t>
            </w:r>
          </w:p>
        </w:tc>
        <w:tc>
          <w:tcPr>
            <w:tcW w:w="5773" w:type="dxa"/>
            <w:gridSpan w:val="3"/>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том числе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910" w:type="dxa"/>
            <w:vMerge w:val="continue"/>
          </w:tcPr>
          <w:p>
            <w:pPr>
              <w:spacing w:after="0"/>
              <w:jc w:val="center"/>
              <w:rPr>
                <w:rFonts w:ascii="Times New Roman" w:hAnsi="Times New Roman" w:eastAsia="Times New Roman" w:cs="Times New Roman"/>
                <w:lang w:eastAsia="ru-RU"/>
              </w:rPr>
            </w:pPr>
          </w:p>
        </w:tc>
        <w:tc>
          <w:tcPr>
            <w:tcW w:w="1888" w:type="dxa"/>
            <w:vMerge w:val="continue"/>
          </w:tcPr>
          <w:p>
            <w:pPr>
              <w:spacing w:after="0"/>
              <w:jc w:val="center"/>
              <w:rPr>
                <w:rFonts w:ascii="Times New Roman" w:hAnsi="Times New Roman" w:eastAsia="Times New Roman" w:cs="Times New Roman"/>
                <w:lang w:eastAsia="ru-RU"/>
              </w:rPr>
            </w:pP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эксплуатационные</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защитные</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нерестоохранные</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(из защитных)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Кистегское</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10929</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10170</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759</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Заволжское</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2971</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2793</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178</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Заволжское сельское</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СПК «Колшевский»</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3566</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3442</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124</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СПК «Корниловский»</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2201</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1890</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311</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tc>
        <w:tc>
          <w:tcPr>
            <w:tcW w:w="188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19667</w:t>
            </w:r>
          </w:p>
        </w:tc>
        <w:tc>
          <w:tcPr>
            <w:tcW w:w="197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18295</w:t>
            </w:r>
          </w:p>
        </w:tc>
        <w:tc>
          <w:tcPr>
            <w:tcW w:w="1889"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1372</w:t>
            </w:r>
          </w:p>
        </w:tc>
        <w:tc>
          <w:tcPr>
            <w:tcW w:w="191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bl>
    <w:p>
      <w:pPr>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Данные получены  в Заволжском лесничестве.</w:t>
      </w:r>
    </w:p>
    <w:p>
      <w:pPr>
        <w:widowControl w:val="0"/>
        <w:spacing w:after="0" w:line="240" w:lineRule="auto"/>
        <w:ind w:firstLine="709"/>
        <w:contextualSpacing/>
        <w:jc w:val="both"/>
        <w:rPr>
          <w:rFonts w:ascii="Times New Roman" w:hAnsi="Times New Roman" w:eastAsia="Times New Roman" w:cs="Times New Roman"/>
          <w:sz w:val="24"/>
          <w:highlight w:val="yellow"/>
          <w:lang w:eastAsia="ru-RU"/>
        </w:rPr>
      </w:pPr>
    </w:p>
    <w:p>
      <w:pPr>
        <w:widowControl w:val="0"/>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Согласно статье 12 Лесного кодекса Российской Федерации защитные леса подлежат освоению в целях сохранения средообразующих, водоохранных, защитных, санитарно-гигиенических, оздоровительных функций.</w:t>
      </w:r>
    </w:p>
    <w:p>
      <w:pPr>
        <w:widowControl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lang w:eastAsia="ru-RU"/>
        </w:rPr>
        <w:t xml:space="preserve">Использование защитных лесов предусматривает устойчивое управление лесами, сохранение биологического разнообразия лесов, повышение их потенциала, сохранение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совместимости этого использования с целевым назначением лесов и выполняемыми ими полезными функциями. Категории защитных лесов установлены в соответствии со статьей 102 Лесного кодекса Российской Федерации, статьей 88 Федерального закона «О введении в действие Лесного кодекса Российской Федерации» и приказа </w:t>
      </w:r>
      <w:r>
        <w:rPr>
          <w:rFonts w:ascii="Times New Roman" w:hAnsi="Times New Roman" w:eastAsia="Times New Roman" w:cs="Times New Roman"/>
          <w:sz w:val="24"/>
          <w:szCs w:val="24"/>
          <w:lang w:eastAsia="ru-RU"/>
        </w:rPr>
        <w:t xml:space="preserve">Департамента лесного хозяйства Ивановской области от 29 декабря 2011г. № 1340 «Лесохозяйственный регламент Заволжского лесничества». </w:t>
      </w:r>
    </w:p>
    <w:p>
      <w:pPr>
        <w:widowControl w:val="0"/>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Использование эксплуатационных лесов предусматривает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обеспечение неистощительного использования для удовлетворения потребностей общества в лесах и лесных ресурсах (ст. 1, 12 Лесного кодекса Российской Федерации).</w:t>
      </w:r>
    </w:p>
    <w:p>
      <w:pPr>
        <w:widowControl w:val="0"/>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Виды разрешенного использования лесов регламентируются ст. 25 Лесного кодекса Российской Федерации.</w:t>
      </w:r>
    </w:p>
    <w:p>
      <w:pPr>
        <w:spacing w:before="240" w:after="0"/>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2.3.5. РЕЛЬЕФ</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Дмитриевского сельского поселения является частью обширной Московской котловины, которая образовалась в палеозойскую эру в результате прогиба отложившихся к тому времени осадочных пород. На эти слои напластовались в ледниковый и послеледниковый периоды четвертичные суглинистые отложения. Формирование рельефа поселения относится ко второму ледниковому периоду.</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Рельеф представлен древней террасой левого коренного берега р. Волги и удаленным от неё слабо волнистым водоразделом. Водораздел в свою очередь представлен слабо покатой равниной, постепенно понижающейся к югу, расчлененной долинами рек, лощинами и оврагами. По западной части поселения проходят холмы конечно-моренной Галичско-Чухломской возвышенности, которая служит водоразделом левых притоков Волги. Водораздел проходит по западной границе поселения. Доминируют ровные плакоры, пологие или, реже покатые склоны, широкие плоские и ложбинообразные понижения. В следствии прохождения по территории поселения морены, поверхности его западной и остальных частей различны. Западная часть отличается холмистым рельефом. Моренные холмы имеют размеры от 0,5 до 3,5 км в диаметре. Общее превышение гряд над равниной превышает в среднем 50 м. По форме они овальные или сильно вытянутые. Не залесненные склоны холмов подвержены линейной или плоскостной эрозии. Между холмами расположены замкнутые понижения, почвы которых излишне увлажнены или заболочены.</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Дмитриевское сельское поселение расположено в лесной зоне, в подзоне южной тайги. Естественная растительность представлена лесами, лугами и болотами.</w:t>
      </w:r>
    </w:p>
    <w:p>
      <w:pPr>
        <w:spacing w:after="0"/>
        <w:ind w:firstLine="284"/>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целом характер рельефа благоприятный для строительства транспортных магистралей, зданий и сооружений.</w:t>
      </w:r>
    </w:p>
    <w:p>
      <w:pPr>
        <w:spacing w:after="0"/>
        <w:jc w:val="both"/>
        <w:rPr>
          <w:rFonts w:ascii="Times New Roman" w:hAnsi="Times New Roman" w:eastAsia="Times New Roman" w:cs="Times New Roman"/>
          <w:sz w:val="24"/>
          <w:szCs w:val="24"/>
          <w:lang w:eastAsia="ru-RU"/>
        </w:rPr>
      </w:pPr>
    </w:p>
    <w:p>
      <w:pPr>
        <w:shd w:val="clear" w:color="auto" w:fill="FFFFFF"/>
        <w:suppressAutoHyphens/>
        <w:spacing w:before="240" w:after="0" w:line="240" w:lineRule="auto"/>
        <w:ind w:firstLine="709"/>
        <w:contextualSpacing/>
        <w:jc w:val="both"/>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2.3.6. РАСТИТЕЛЬНЫЙ ПОКРОВ</w:t>
      </w:r>
    </w:p>
    <w:p>
      <w:pPr>
        <w:spacing w:after="0"/>
        <w:ind w:firstLine="284"/>
        <w:jc w:val="both"/>
        <w:rPr>
          <w:rFonts w:ascii="Times New Roman" w:hAnsi="Times New Roman" w:eastAsia="Times New Roman" w:cs="Times New Roman"/>
          <w:sz w:val="24"/>
          <w:szCs w:val="24"/>
          <w:lang w:eastAsia="ru-RU"/>
        </w:rPr>
      </w:pPr>
    </w:p>
    <w:p>
      <w:pPr>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Значительную площадь территории Дмитриевского сельского поселения занимают леса, относящиеся к лесорастительной зоне хвойно-широколиственных лесов. Это район распространения бореальных еловых и елово-сосновых лесов на полого-волнистых равнинах с супесчаным плащом, покрывающим морену. На хорошо отсортированных древнеаллювиальных песках встречаются чисто сосновые бореальные леса. Хвойные массивы лесов в настоящее время сменились мелколиственными, преимущественно березой, а в меньшей мере на более глинистой почве — осиной. В хвойных лесах основными породами являются ель и сосна. Среди ельников чаще других встречаются ельники-кисличники. Они занимают хорошо дренированные водоразделы с легко- и среднесуглинистыми почвами. В подлеске преобладает рябина обыкновенная, жимолость лесная,</w:t>
      </w:r>
      <w:r>
        <w:rPr>
          <w:rFonts w:ascii="Calibri" w:hAnsi="Calibri" w:eastAsia="Times New Roman" w:cs="Times New Roman"/>
          <w:sz w:val="24"/>
          <w:szCs w:val="24"/>
          <w:lang w:eastAsia="ru-RU"/>
        </w:rPr>
        <w:t xml:space="preserve"> </w:t>
      </w:r>
      <w:r>
        <w:rPr>
          <w:rFonts w:ascii="Times New Roman" w:hAnsi="Times New Roman" w:eastAsia="Times New Roman" w:cs="Times New Roman"/>
          <w:sz w:val="24"/>
          <w:szCs w:val="24"/>
          <w:lang w:eastAsia="ru-RU"/>
        </w:rPr>
        <w:t>волчье лыко. На дерново-подзолистых супесчаных почвах и валунных песках распространены ельники-черничники. Широко распространены березовые леса. В подлеске преобладают черемуха, рябина, крушина. По берегам рек, речным долинам на иловато-болотных почвах распространены ольховые леса.</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Луговая растительность весьма разнообразна. В травостое встречаются овсяница луговая, лисохвост, виды мятлика, тимофеевка, луговик дернистый, мышиный горошек, чина, виды клевера, щавель кислый, лютик едкий, борщевик сибирский и др. На избыточно увлажненных местах преобладают осоки и двухкисточник тростниковый.</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травостое лесных лугов встречаются из злаковых растений – луговик дернистый, перловник поникающий, полевицы и др.; из бобовых – сочевичник весенний, горошек мышиный, клевер ползучий; из разнотравья - гравилат прибрежный, лютики, купальница европейская, купырь лесной, лабазник вязолистный, иван-да-марья, ятрышники, манжетки, золотарник, иван-чай, щавель кислый и др.</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Выводы: </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Успешное ведение лесного хозяйства возможно на любых почвах, за исключением избыточно увлажненных (на последних – только при условии проведения мелиорации).</w:t>
      </w:r>
    </w:p>
    <w:p>
      <w:pPr>
        <w:spacing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Почвенные условия поселения, как и в целом Ивановской области, нельзя назвать благоприятными для ведения сельского хозяйства в разрезе регионов Российской Федерации, однако возможность хозяйственного использования почв для эффективного и рентабельного сельскохозяйственного производства существует.</w:t>
      </w:r>
    </w:p>
    <w:p>
      <w:pPr>
        <w:shd w:val="clear" w:color="auto" w:fill="FFFFFF"/>
        <w:spacing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Имеющиеся на территории поселения окультуренные почвы можно успешно использовать для кормопроизводства, выращивания льна-долгунца и картофеля; при условии известкования и внесения высоких доз органических удобрений – также и овощных культур, рапса, ячменя.</w:t>
      </w:r>
    </w:p>
    <w:p>
      <w:pPr>
        <w:spacing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 Растительный покров поселения характеризуется значительной пестротой и богатым видовым разнообразием, что создает условия для его рекреационного и хозяйственного использования. </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Среди растений, произрастающих на территории Дмитриевского сельского поселения, имеются медоносные, лекарственные, пищевые, декоративные виды в количествах, допускающих возможность их заготовки.</w:t>
      </w:r>
    </w:p>
    <w:p>
      <w:pPr>
        <w:spacing w:after="0"/>
        <w:ind w:firstLine="720"/>
        <w:jc w:val="both"/>
        <w:rPr>
          <w:rFonts w:ascii="Times New Roman" w:hAnsi="Times New Roman" w:eastAsia="Times New Roman" w:cs="Times New Roman"/>
          <w:sz w:val="24"/>
          <w:szCs w:val="24"/>
          <w:lang w:eastAsia="ru-RU"/>
        </w:rPr>
      </w:pPr>
    </w:p>
    <w:p>
      <w:pPr>
        <w:spacing w:before="240" w:after="0"/>
        <w:ind w:firstLine="709"/>
        <w:jc w:val="both"/>
        <w:rPr>
          <w:rFonts w:ascii="Times New Roman" w:hAnsi="Times New Roman" w:eastAsia="Times New Roman" w:cs="Times New Roman"/>
          <w:b/>
          <w:bCs/>
          <w:i/>
          <w:sz w:val="24"/>
          <w:szCs w:val="24"/>
          <w:lang w:eastAsia="ru-RU"/>
        </w:rPr>
      </w:pPr>
      <w:r>
        <w:rPr>
          <w:rFonts w:ascii="Times New Roman" w:hAnsi="Times New Roman" w:eastAsia="Times New Roman" w:cs="Times New Roman"/>
          <w:b/>
          <w:bCs/>
          <w:sz w:val="24"/>
          <w:szCs w:val="24"/>
          <w:lang w:eastAsia="ru-RU"/>
        </w:rPr>
        <w:t>2.3.7. ЖИВОТНЫЙ МИР</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Дмитриевское сельское поселение расположено в лесной зоне, в подзоне южной тайги. Естественная растительность представлена лесами, лугами и болотами.</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Значительную площадь территории поселения занимают леса, относящиеся к лесорастительной зоне хвойно-широколиственных лесов. На хорошо отсортированных древнеаллювиальных песках встречаются чисто сосновые бореальные леса. Хвойные массивы лесов в настоящее время сменились мелколиственными, преимущественно березой, а в меньшей мере на более глинистой почве — осиной. В хвойных лесах основными породами являются ель и сосна. Среди ельников чаще других встречаются ельники-кисличники. Они занимают хорошо дренированные водоразделы с легко- и среднесуглинистыми почвами. В подлеске преобладает рябина обыкновенная, жимолость лесная, волчье лыко. На дерново-подзолистых супесчаных почвах и валунных песках распространены ельники-черничники. Широко распространены березовые леса. В подлеске преобладают черемуха, рябина, крушина. По берегам рек, речным долинам на иловато-болотных почвах распространены ольховые леса.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Главное пользование лесами — заготовка древесины. Леса поселения располагают ресурсами побочного пользования, это: ягоды, грибы, березовый сок, лекарственное сырьё.</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Леса распространены по лесничествам. Во всех лесах — охотничьи угодья. Животный мир Дмитриевского поселения достаточно богат и разнообразен.</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Охотничья фауна насчитывает более 20 видов млекопитающих и 40 видов птиц. Из охотничьих зверей наиболее значимы: лось, кабан, лисица, заяц-беляк, заяц-русак, барсук, бобр, горностай, хорь лесной, белка. Из охотничье-промысловой дичи наибольшее значение имеют глухарь, тетерев, рябчик, серая куропатка и водоплавающие птицы.</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 реках обитает более 40 видов рыб. Наиболее известны следующие: щука, лещ, сазан, густера, чехонь, жерех, окунь, карась, карп, плотва, линь, язь, налим, пескарь, уклейка, ерш.</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 поселении распространено в основном любительское рыболовство. Речное товарное рыболовство развито слабо. Самые большие и «богатые» рыбой реки в поселении: Кистега, Локша, Покша.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 Дмитриевском поселении обитают несколько видов, включенных в Красную книгу Ивановской области: из бабочек — мнемозина и махаон; из рыб — европейский хариус, подкаменщик, речной угорь; из круглоротых — европейская минога; из земноводных — гребенчатый тритон и веретеница ломкая; из птиц — большой кроншнеп, кулик-сорока, орлан -белохвост, филин; лебедь кликун, обыкновенный осоед, полевой лунь, обыкновенная пустельга, серый журавль, жаворонок, дубонос, обыкновенный сверчок.</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Ландшафты Дмитриевского сельского поселения одни из самых живописных в Ивановской области. Ныне это одна из самых привлекательных территорий для развития внутреннего и въездного туризма.</w:t>
      </w:r>
    </w:p>
    <w:p>
      <w:pPr>
        <w:spacing w:after="0"/>
        <w:jc w:val="both"/>
        <w:rPr>
          <w:rFonts w:ascii="Calibri" w:hAnsi="Calibri" w:eastAsia="Times New Roman" w:cs="Times New Roman"/>
          <w:szCs w:val="29"/>
          <w:lang w:eastAsia="ru-RU"/>
        </w:rPr>
      </w:pPr>
      <w:r>
        <w:rPr>
          <w:rFonts w:ascii="Calibri" w:hAnsi="Calibri" w:eastAsia="Times New Roman" w:cs="Times New Roman"/>
          <w:szCs w:val="29"/>
          <w:lang w:eastAsia="ru-RU"/>
        </w:rPr>
        <w:tab/>
      </w:r>
      <w:r>
        <w:rPr>
          <w:rFonts w:ascii="Calibri" w:hAnsi="Calibri" w:eastAsia="Times New Roman" w:cs="Times New Roman"/>
          <w:szCs w:val="29"/>
          <w:lang w:eastAsia="ru-RU"/>
        </w:rPr>
        <w:t xml:space="preserve"> </w:t>
      </w:r>
    </w:p>
    <w:p>
      <w:pPr>
        <w:spacing w:before="240"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2.3.8. ИНЖЕНЕРНО-СТРОИТЕЛЬНЫЕ УСЛОВИЯ</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Территория поселения расположена в центре нечерноземной зоны, в южно-таежно-лесной зоне. По характеристике почвенного покрова поселение располагается в зоне дерново-подзолистых, супесчаных и суглинистых почв.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Инженерно-геологические условия территории поселения в целом благоприятны для комплексного развития и размещения объектов капитального строительства.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Дмитриевского сельского поселения эксплуатируются песчано-гравийные и торфяные месторождения.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Особенностями геологического, тектонического, геоморфологического строения территории в совокупности с усиливающимся техногенным воздействием на геологическую среду (городская застройка, строительство и эксплуатация автотранспортных, газопроводных магистралей, сельскохозяйственное освоение территорий и др.) дали толчок к активизации различных типов экзогенных геологических процессов. На современном этапе наиболее развиты такие процессы, как подтопление и переработка берегов, оползни, подтопление территорий. Менее активно проявляют себя донная и боковая эрозия временных и постоянных водотоков.</w:t>
      </w:r>
    </w:p>
    <w:p>
      <w:pPr>
        <w:spacing w:after="0"/>
        <w:ind w:firstLine="426"/>
        <w:jc w:val="both"/>
        <w:rPr>
          <w:rFonts w:ascii="Times New Roman" w:hAnsi="Times New Roman" w:eastAsia="Times New Roman" w:cs="Times New Roman"/>
          <w:sz w:val="24"/>
          <w:szCs w:val="24"/>
          <w:lang w:eastAsia="ru-RU"/>
        </w:rPr>
      </w:pPr>
    </w:p>
    <w:p>
      <w:pPr>
        <w:spacing w:after="0"/>
        <w:ind w:firstLine="426"/>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b/>
          <w:bCs/>
          <w:sz w:val="24"/>
          <w:szCs w:val="24"/>
          <w:lang w:eastAsia="ru-RU"/>
        </w:rPr>
        <w:t>Оценка благоприятности территории для капитального строительства по инфраструктурной обеспеченности, комплексу природных, экологических и историко-культурных ограничений.</w:t>
      </w:r>
    </w:p>
    <w:p>
      <w:pPr>
        <w:spacing w:after="0"/>
        <w:ind w:firstLine="426"/>
        <w:jc w:val="center"/>
        <w:rPr>
          <w:rFonts w:ascii="Times New Roman" w:hAnsi="Times New Roman" w:eastAsia="Times New Roman" w:cs="Times New Roman"/>
          <w:b/>
          <w:bCs/>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Оценка территории по уровню развития инфраструктуры выполнена на основе: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обеспеченности транспортными путями;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доступности по трудовым и социально-культурным связям;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уровню энергоснабжения.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благоприятно капитальное строительство, где проложены автомобильные дороги общего пользования </w:t>
      </w:r>
      <w:r>
        <w:rPr>
          <w:rFonts w:ascii="Times New Roman" w:hAnsi="Times New Roman" w:eastAsia="Times New Roman" w:cs="Times New Roman"/>
          <w:sz w:val="24"/>
          <w:szCs w:val="24"/>
          <w:lang w:val="en-US" w:eastAsia="ru-RU"/>
        </w:rPr>
        <w:t>III</w:t>
      </w:r>
      <w:r>
        <w:rPr>
          <w:rFonts w:ascii="Times New Roman" w:hAnsi="Times New Roman" w:eastAsia="Times New Roman" w:cs="Times New Roman"/>
          <w:sz w:val="24"/>
          <w:szCs w:val="24"/>
          <w:lang w:eastAsia="ru-RU"/>
        </w:rPr>
        <w:t xml:space="preserve">   и  </w:t>
      </w:r>
      <w:r>
        <w:rPr>
          <w:rFonts w:ascii="Times New Roman" w:hAnsi="Times New Roman" w:eastAsia="Times New Roman" w:cs="Times New Roman"/>
          <w:sz w:val="24"/>
          <w:szCs w:val="24"/>
          <w:lang w:val="en-US" w:eastAsia="ru-RU"/>
        </w:rPr>
        <w:t>IV</w:t>
      </w:r>
      <w:r>
        <w:rPr>
          <w:rFonts w:ascii="Times New Roman" w:hAnsi="Times New Roman" w:eastAsia="Times New Roman" w:cs="Times New Roman"/>
          <w:sz w:val="24"/>
          <w:szCs w:val="24"/>
          <w:lang w:eastAsia="ru-RU"/>
        </w:rPr>
        <w:t xml:space="preserve"> категории.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качестве критерия доступности основных экономических и социально-культурных центров принята 1-часовая — по трудовым связям и 2-часовая по периодическим культурно-бытовым связям. При этом территория благоприятна для капитального строительства при 1-часовой доступности. Относительно благоприятна — при 2-часовой и неблагоприятна при более чем 2-часовой доступности.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энергообеспеченности территории благоприятные - при наличии подстанций 110/35 кв; неблагоприятные — наличие ЛЭП низкого напряжения, либо ведомственных ЛЭП.</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условиях Дмитриевского сельского поселения наибольшее значение имеет удобство транспортной доступности до крупных центров.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Оценка по уровню развитости инфраструктуры позволила выделить группы территорий, отличающихся по степени благоприятности для капитального строительства.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обосновании зон размещения объектов капитального строительства обеспеченность территории производственной и социальной инфраструктурой имеет приоритетное значение. Объекты капитального строительства преимущественно будут размещаться в сложившихся инфраструктурных центрах, либо вблизи них (в складывающихся промышленных и общественно-деловых зонах).</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соответствии со СНиП 201-01-86 территория поселения относится к </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строительно-климатической зоне, подрайон </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В. В целом поселение имеет благоприятные климатические условия для строительства.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инженерно-геологическим условиям для капитального строительства в качестве оценочных единиц выбраны инженерно-геологические районы с проявлением экзогенных геологических процессов (ЭГП) различной интенсивности, отличающихся степенью сложности для строительства. К неблагоприятным (осложненным) относятся территории с активностью проявления ЭПГ 5-25% и более от общего количества. К относительно благоприятным — с активностью проявления менее 5%, к благоприятным — территории свободные от ограничений.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сложным для строительства относятся территории с преобладанием средних и мощных торфяных грунтов, обширные заболоченные территории с уклонами поверхности менее 0,5%. Данные территории также неблагоприятны для строительства вследствие наличия участков с плохими условиями стока.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Зоны с особыми условиями использования территории включают в себя различные виды буферных зон (охранные зоны объектов транспортной и инженерной инфраструктуры, зоны санитарной охраны источников питьевого водоснабжения, водоохранные зоны водных объектов, территории и охранные зоны объектов историко-культурного наследия). В этих зонах имеются ограничения на хозяйственное использование территории, в том числе на размещение объектов капитального строительства, что позволяет отнести их к неблагоприятным для капитального строительства.</w:t>
      </w:r>
    </w:p>
    <w:p>
      <w:pPr>
        <w:keepNext/>
        <w:tabs>
          <w:tab w:val="left" w:pos="576"/>
        </w:tabs>
        <w:suppressAutoHyphens/>
        <w:spacing w:before="240" w:after="0" w:line="240" w:lineRule="auto"/>
        <w:ind w:firstLine="709"/>
        <w:jc w:val="both"/>
        <w:outlineLvl w:val="1"/>
        <w:rPr>
          <w:rFonts w:ascii="Times New Roman" w:hAnsi="Times New Roman" w:eastAsia="Times New Roman" w:cs="Times New Roman"/>
          <w:b/>
          <w:bCs/>
          <w:iCs/>
          <w:sz w:val="24"/>
          <w:szCs w:val="28"/>
          <w:lang w:eastAsia="ar-SA"/>
        </w:rPr>
      </w:pPr>
      <w:bookmarkStart w:id="4" w:name="_Toc312173537"/>
      <w:r>
        <w:rPr>
          <w:rFonts w:ascii="Times New Roman" w:hAnsi="Times New Roman" w:eastAsia="Times New Roman" w:cs="Times New Roman"/>
          <w:b/>
          <w:bCs/>
          <w:iCs/>
          <w:sz w:val="24"/>
          <w:szCs w:val="28"/>
          <w:lang w:eastAsia="ar-SA"/>
        </w:rPr>
        <w:t>2.3.9. ОСОБО ОХРАНЯЕМЫЕ ПРИРОДНЫЕ ТЕРРИТОРИИ</w:t>
      </w:r>
      <w:bookmarkEnd w:id="4"/>
    </w:p>
    <w:p>
      <w:pPr>
        <w:spacing w:after="0"/>
        <w:rPr>
          <w:rFonts w:ascii="Calibri" w:hAnsi="Calibri" w:eastAsia="Times New Roman" w:cs="Times New Roman"/>
          <w:lang w:eastAsia="ar-SA"/>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Природные объекты, имеющие особое природоохранное, научное, историко-культурное, эстетическое, рекреационное, оздоровительное и иное ценное значение находятся под особой охраной, для чего устанавливается особый правовой режим. Меры по охране государственных природных заказников и памятников природы предусмотрены Федеральным законом «Об особо охраняемых природных территориях» и Постановлениями Правительства Ивановской области, в соответствии с которыми регламентируется любая деятельность, которая может нанести ущерб природным комплексам и объектам растительного и животного мира и противоречит целям и задачам данных ООПТ. </w:t>
      </w:r>
    </w:p>
    <w:p>
      <w:pPr>
        <w:spacing w:after="0"/>
        <w:ind w:firstLine="426"/>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Защитные леса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территориям природоохранного назначения относятся леса, выполняющие защитные функции. В соответствии с Лесным кодексом РФ к защитным лесам относятся леса, основным назначением которых является выполнение водоохранных, защитных, санитарно-гигиенических, оздоровительных и иных функций.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Земельным кодексом РФ в пределах земель природоохранного назначения вводится особый правовой режим использования территории, ограничивающий или запрещающий виды деятельности, которые несовместимы с основным назначением этих земель.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правовыми актами органов местного самоуправления.</w:t>
      </w:r>
    </w:p>
    <w:p>
      <w:pPr>
        <w:spacing w:after="0"/>
        <w:ind w:firstLine="426"/>
        <w:jc w:val="both"/>
        <w:rPr>
          <w:rFonts w:ascii="Times New Roman" w:hAnsi="Times New Roman" w:eastAsia="Times New Roman" w:cs="Times New Roman"/>
          <w:sz w:val="24"/>
          <w:szCs w:val="24"/>
          <w:lang w:eastAsia="ru-RU"/>
        </w:rPr>
      </w:pPr>
    </w:p>
    <w:p>
      <w:pPr>
        <w:spacing w:after="0"/>
        <w:ind w:firstLine="426"/>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Заказники и памятники природы Дмитриевского сельского поселения</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Решением Ивановского областного Совета народных депутатов от 14.07.1993 №148 «Об установлении границ территорий с особым правовым режимом использования земель», утверждены следующие объекты в качестве памятников природы.</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Болото «Лентьевское» расположено в 30 км северо-западнее г. Заволжск, в 4,5 км южнее с. Колшево, 1,5 км северо-западнее д. Лентьево, в кварталах 59 и 60 Кистегского лесничества. Общая площадь болота 98 га, площадь промышленной залежи 66 га. Максимальная мощность торфяного пласта 5,5 м, средняя 2,54. Болото верхового типа. Расположено на склонах р. Локша, из северо-западной части болота вытекает ручей Черный. Болото облесено сосной и березой, на болоте растут клюква, черника, голубика, брусника, багульник и другие типичные растения верховых болот. На болоте обитают белая куропатка, тетерев, заяц-беляк, лоси, кабан.</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«Парковые насаждения в д. Корнилово» площадью 4,9 га.- это остатки некогда роскошного парка, находившегося в усадьбе помещика Куломзина. На территории парка имеются несколько пихтовых деревьев, вековой дуб, два кедра, клен, вяз, липовые и лиственничные аллеи.</w:t>
      </w:r>
    </w:p>
    <w:p>
      <w:pPr>
        <w:spacing w:after="0"/>
        <w:ind w:firstLine="426"/>
        <w:jc w:val="both"/>
        <w:rPr>
          <w:rFonts w:ascii="Times New Roman" w:hAnsi="Times New Roman" w:eastAsia="Times New Roman" w:cs="Times New Roman"/>
          <w:sz w:val="24"/>
          <w:szCs w:val="24"/>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Природные объекты, предлагаемые под охрану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 качестве памятников природы и заказников</w:t>
      </w:r>
    </w:p>
    <w:p>
      <w:pPr>
        <w:spacing w:after="0"/>
        <w:ind w:firstLine="426"/>
        <w:jc w:val="center"/>
        <w:rPr>
          <w:rFonts w:ascii="Times New Roman" w:hAnsi="Times New Roman" w:eastAsia="Times New Roman" w:cs="Times New Roman"/>
          <w:b/>
          <w:sz w:val="24"/>
          <w:szCs w:val="24"/>
          <w:lang w:eastAsia="ru-RU"/>
        </w:rPr>
      </w:pPr>
    </w:p>
    <w:p>
      <w:pPr>
        <w:widowControl w:val="0"/>
        <w:numPr>
          <w:ilvl w:val="0"/>
          <w:numId w:val="12"/>
        </w:numPr>
        <w:tabs>
          <w:tab w:val="left" w:pos="851"/>
          <w:tab w:val="clear" w:pos="1855"/>
        </w:tabs>
        <w:suppressAutoHyphens/>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Родник на р. Кистега, ниже д. Вострово;</w:t>
      </w:r>
    </w:p>
    <w:p>
      <w:pPr>
        <w:numPr>
          <w:ilvl w:val="0"/>
          <w:numId w:val="12"/>
        </w:numPr>
        <w:tabs>
          <w:tab w:val="left" w:pos="709"/>
          <w:tab w:val="clear" w:pos="1855"/>
        </w:tabs>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Кистегский святой родник близ с. Кистега, в местечке Сдвижение;</w:t>
      </w:r>
    </w:p>
    <w:p>
      <w:pPr>
        <w:widowControl w:val="0"/>
        <w:numPr>
          <w:ilvl w:val="0"/>
          <w:numId w:val="12"/>
        </w:numPr>
        <w:tabs>
          <w:tab w:val="left" w:pos="709"/>
          <w:tab w:val="clear" w:pos="1855"/>
        </w:tabs>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«Святой» родник в 2 км от д. Голочелово. Источники чистой воды;</w:t>
      </w:r>
    </w:p>
    <w:p>
      <w:pPr>
        <w:widowControl w:val="0"/>
        <w:numPr>
          <w:ilvl w:val="0"/>
          <w:numId w:val="12"/>
        </w:numPr>
        <w:tabs>
          <w:tab w:val="clear" w:pos="1855"/>
        </w:tabs>
        <w:suppressAutoHyphens/>
        <w:spacing w:after="0" w:line="240" w:lineRule="auto"/>
        <w:ind w:firstLine="426"/>
        <w:contextualSpacing/>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Болото (без названия) в 151 кв. Кистегского лесничества, с клюквой;</w:t>
      </w:r>
    </w:p>
    <w:p>
      <w:pPr>
        <w:widowControl w:val="0"/>
        <w:numPr>
          <w:ilvl w:val="0"/>
          <w:numId w:val="12"/>
        </w:numPr>
        <w:tabs>
          <w:tab w:val="left" w:pos="851"/>
          <w:tab w:val="clear" w:pos="1855"/>
        </w:tabs>
        <w:suppressAutoHyphens/>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Болото Чувисовское (23/949) в 3 км СВ с. Колшево, с клюквой площадью 115 га.</w:t>
      </w:r>
    </w:p>
    <w:p>
      <w:pPr>
        <w:widowControl w:val="0"/>
        <w:spacing w:after="0"/>
        <w:ind w:firstLine="786"/>
        <w:jc w:val="both"/>
        <w:rPr>
          <w:rFonts w:ascii="Times New Roman" w:hAnsi="Times New Roman" w:eastAsia="Times New Roman" w:cs="Times New Roman"/>
          <w:sz w:val="24"/>
          <w:szCs w:val="24"/>
          <w:lang w:eastAsia="ru-RU"/>
        </w:rPr>
      </w:pPr>
    </w:p>
    <w:p>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п. 3.3 постановления от 2 июля 2008 г. № 175-п «об особо охраняемых природных территориях регионального значения и защитных участках территорий и акваторий местного значения» необходимо разработать и внести в установленном порядке проекты нормативных правовых актов Правительства Ивановской области о государственном видовом зоологическом заказнике "Заволжский", общей площадью 29,9 тыс. га в следующих границах:</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xml:space="preserve">       Северная: от деревни Князево по шоссейной автодороге Заволжск - Колшево в сторону города Заволжска до поворота на село Корнилово;</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xml:space="preserve">       Восточная: от поворота на село Корнилово с автодороги Заволжск - Колшево по автодороге до села Корнилово, далее по грунтовой дороге Корнилово - Есиплево через населенные пункты Саловица, Акишенки до села Есиплево. Далее по дороге Есиплево - Ильинское через населенный пункт Ильинское до выхода на реку Волга;</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xml:space="preserve">       Южная: река Волга от переправы в районе населенного пункта Ильинское вверх по течению до устья реки Колдома;</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xml:space="preserve">       Западная: от устья реки Колдома вверх по ее течению до выхода на линию административной границы между Ивановской и Костромской областями в районе деревни Рыболовка. Далее по линии административной границы между Ивановской и Костромской областями на север до пересечения с лесной дорогой, соединяющей урочище Лентьево (Ивановская область) и населенный пункт Носково (Костромская область). Далее по этой дороге через урочище Лентьево, населенные пункты Карцево, Ямново до деревни Князево (Колшевская сельская администрация).</w:t>
      </w:r>
    </w:p>
    <w:p>
      <w:pPr>
        <w:spacing w:after="120"/>
        <w:ind w:firstLine="426"/>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На данной территории сложилась значительная устойчивая популяция редких видов хищных птиц: черного коршуна, канюк и др. На пролете регулярно отмечается скопа. На участке Горьковского водохранилища, примыкающего к предполагаемому заказнику, во время весеннего и осеннего пролета останавливается значительное количество водоплавающих птиц. В районе этого участка водохранилища отмечаются гнездования серых цапель. В реках обитает хариус,  карп, лещ, сазан, щука, жерех и многие другие.</w:t>
      </w:r>
    </w:p>
    <w:p>
      <w:pPr>
        <w:spacing w:after="120"/>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ab/>
      </w:r>
      <w:r>
        <w:rPr>
          <w:rFonts w:ascii="Times New Roman" w:hAnsi="Times New Roman" w:eastAsia="Times New Roman" w:cs="Times New Roman"/>
          <w:sz w:val="24"/>
          <w:lang w:eastAsia="ru-RU"/>
        </w:rPr>
        <w:t xml:space="preserve">Охотничья фауна насчитывает более 20 видов млекопитающих и 40 видов птиц. В качестве ценных объектов, памятником природы выделены места токования глухарей, нереста, нагула и зимовки рыб, места обитания бобров. </w:t>
      </w:r>
    </w:p>
    <w:p>
      <w:pPr>
        <w:spacing w:after="120"/>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ab/>
      </w:r>
      <w:r>
        <w:rPr>
          <w:rFonts w:ascii="Times New Roman" w:hAnsi="Times New Roman" w:eastAsia="Times New Roman" w:cs="Times New Roman"/>
          <w:sz w:val="24"/>
          <w:lang w:eastAsia="ru-RU"/>
        </w:rPr>
        <w:t xml:space="preserve">Данная территория является особо ценной для сохранения редких видов птиц, а также восстановления популяций крупных копытных животных. </w:t>
      </w:r>
    </w:p>
    <w:p>
      <w:pPr>
        <w:widowControl w:val="0"/>
        <w:spacing w:after="0"/>
        <w:ind w:firstLine="786"/>
        <w:jc w:val="both"/>
        <w:rPr>
          <w:rFonts w:ascii="Times New Roman" w:hAnsi="Times New Roman" w:eastAsia="Times New Roman" w:cs="Times New Roman"/>
          <w:sz w:val="24"/>
          <w:szCs w:val="24"/>
          <w:lang w:eastAsia="ru-RU"/>
        </w:rPr>
      </w:pPr>
    </w:p>
    <w:p>
      <w:pPr>
        <w:widowControl w:val="0"/>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Природа Дмитриевского поселения, его лесные и водные ресурсы, флора и фауна благоприятны для развития в поселении рекреации, экологического туризма, сбора грибов и ягод, охоты, рыболовства. В данном проекте предлагается инвесторам ряд «зеленых площадок» по берегам рек для создания на них новых объектов туристско-рекреационной деятельности.</w:t>
      </w:r>
    </w:p>
    <w:p>
      <w:pPr>
        <w:keepNext/>
        <w:keepLines/>
        <w:spacing w:before="480" w:after="0"/>
        <w:jc w:val="center"/>
        <w:outlineLvl w:val="0"/>
        <w:rPr>
          <w:rFonts w:ascii="Times New Roman" w:hAnsi="Times New Roman" w:eastAsia="Times New Roman" w:cs="Times New Roman"/>
          <w:b/>
          <w:bCs/>
          <w:sz w:val="28"/>
          <w:szCs w:val="24"/>
          <w:lang w:eastAsia="ru-RU"/>
        </w:rPr>
      </w:pPr>
      <w:r>
        <w:rPr>
          <w:rFonts w:ascii="Times New Roman" w:hAnsi="Times New Roman" w:eastAsia="Times New Roman" w:cs="Times New Roman"/>
          <w:b/>
          <w:bCs/>
          <w:sz w:val="28"/>
          <w:szCs w:val="24"/>
          <w:lang w:eastAsia="ru-RU"/>
        </w:rPr>
        <w:t>2.4. ЭКОЛОГИЧЕСКОЕ СОСТОЯНИЕ</w:t>
      </w:r>
    </w:p>
    <w:p>
      <w:pPr>
        <w:keepNext/>
        <w:tabs>
          <w:tab w:val="left" w:pos="576"/>
        </w:tabs>
        <w:suppressAutoHyphens/>
        <w:spacing w:before="240" w:after="0" w:line="240" w:lineRule="auto"/>
        <w:ind w:firstLine="709"/>
        <w:jc w:val="both"/>
        <w:outlineLvl w:val="1"/>
        <w:rPr>
          <w:rFonts w:ascii="Times New Roman" w:hAnsi="Times New Roman" w:eastAsia="Times New Roman" w:cs="Times New Roman"/>
          <w:b/>
          <w:bCs/>
          <w:iCs/>
          <w:sz w:val="24"/>
          <w:szCs w:val="24"/>
          <w:lang w:eastAsia="ar-SA"/>
        </w:rPr>
      </w:pPr>
      <w:bookmarkStart w:id="5" w:name="_Toc312173552"/>
      <w:r>
        <w:rPr>
          <w:rFonts w:ascii="Times New Roman" w:hAnsi="Times New Roman" w:eastAsia="Times New Roman" w:cs="Times New Roman"/>
          <w:b/>
          <w:bCs/>
          <w:iCs/>
          <w:sz w:val="24"/>
          <w:szCs w:val="24"/>
          <w:lang w:eastAsia="ar-SA"/>
        </w:rPr>
        <w:t>2.4.1. СОСТОЯНИЕ ВОЗДУШНОГО БАССЕЙНА</w:t>
      </w:r>
      <w:bookmarkEnd w:id="5"/>
    </w:p>
    <w:p>
      <w:pPr>
        <w:widowControl w:val="0"/>
        <w:spacing w:before="240" w:after="0"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Уровень загрязнения атмосферного воздуха Дмитриевского сельского поселения зависит от следующих факторов:</w:t>
      </w:r>
    </w:p>
    <w:p>
      <w:pPr>
        <w:widowControl w:val="0"/>
        <w:numPr>
          <w:ilvl w:val="0"/>
          <w:numId w:val="13"/>
        </w:numPr>
        <w:tabs>
          <w:tab w:val="left" w:pos="993"/>
        </w:tabs>
        <w:spacing w:after="0" w:line="240" w:lineRule="auto"/>
        <w:ind w:left="0"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природно-климатические особенности территории;</w:t>
      </w:r>
    </w:p>
    <w:p>
      <w:pPr>
        <w:widowControl w:val="0"/>
        <w:numPr>
          <w:ilvl w:val="0"/>
          <w:numId w:val="13"/>
        </w:numPr>
        <w:tabs>
          <w:tab w:val="left" w:pos="993"/>
        </w:tabs>
        <w:spacing w:after="0" w:line="240" w:lineRule="auto"/>
        <w:ind w:left="0"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выбросы автотранспорта и сельскохозяйственной техники;</w:t>
      </w:r>
    </w:p>
    <w:p>
      <w:pPr>
        <w:widowControl w:val="0"/>
        <w:numPr>
          <w:ilvl w:val="0"/>
          <w:numId w:val="13"/>
        </w:numPr>
        <w:tabs>
          <w:tab w:val="left" w:pos="993"/>
        </w:tabs>
        <w:spacing w:after="0" w:line="240" w:lineRule="auto"/>
        <w:ind w:left="0"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выбросы котельных и выбросы при отоплении частных домов;</w:t>
      </w:r>
    </w:p>
    <w:p>
      <w:pPr>
        <w:widowControl w:val="0"/>
        <w:numPr>
          <w:ilvl w:val="0"/>
          <w:numId w:val="13"/>
        </w:numPr>
        <w:tabs>
          <w:tab w:val="left" w:pos="993"/>
        </w:tabs>
        <w:spacing w:after="0" w:line="240" w:lineRule="auto"/>
        <w:ind w:left="0"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выбросы загрязняющих веществ от предприятий.</w:t>
      </w:r>
    </w:p>
    <w:p>
      <w:pPr>
        <w:widowControl w:val="0"/>
        <w:spacing w:after="0"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Природно-климатические особенности территории обуславливают движение потенциально загрязненных воздушных масс по поселению, скорость, направление их движения и особенности движения аналогичных воздушных масс с соседних регионов. Также природно-климатические условия обуславливают вероятность возникновения лесных и торфяных пожаров. Более подробно природно-климатическая характеристика поселения описана в разделе, посвященном природным условиям.</w:t>
      </w:r>
    </w:p>
    <w:p>
      <w:pPr>
        <w:spacing w:after="0"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Состояние атмосферного воздуха в поселении характеризуется как слабозагрязненное. Основными составляющими выбросов являются: взвешенные вещества, сернистый ангидрид, оксид углерода, углеводороды и летучие органические соединения. </w:t>
      </w:r>
    </w:p>
    <w:p>
      <w:pPr>
        <w:spacing w:after="0"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Поселковые котельные эксплуатируются на дровах и угле. Котельные пыле-газоулавливающими установками не оборудованы и выброс загрязняющих веществ происходит без очистки. Перевод поселковых котельных и котельных предприятий на газовое топливо, позволило бы несколько улучшить экологическую ситуацию. Однако в целом фактическое загрязнение воздуха населенных мест можно оценивать как допустимое. </w:t>
      </w:r>
    </w:p>
    <w:p>
      <w:pPr>
        <w:keepNext/>
        <w:tabs>
          <w:tab w:val="left" w:pos="576"/>
        </w:tabs>
        <w:suppressAutoHyphens/>
        <w:spacing w:before="240" w:after="0" w:line="240" w:lineRule="auto"/>
        <w:ind w:firstLine="709"/>
        <w:jc w:val="both"/>
        <w:outlineLvl w:val="1"/>
        <w:rPr>
          <w:rFonts w:ascii="Times New Roman" w:hAnsi="Times New Roman" w:eastAsia="Times New Roman" w:cs="Times New Roman"/>
          <w:b/>
          <w:bCs/>
          <w:iCs/>
          <w:sz w:val="24"/>
          <w:szCs w:val="28"/>
          <w:lang w:eastAsia="ar-SA"/>
        </w:rPr>
      </w:pPr>
      <w:bookmarkStart w:id="6" w:name="_Toc312173553"/>
      <w:r>
        <w:rPr>
          <w:rFonts w:ascii="Times New Roman" w:hAnsi="Times New Roman" w:eastAsia="Times New Roman" w:cs="Times New Roman"/>
          <w:b/>
          <w:bCs/>
          <w:iCs/>
          <w:sz w:val="24"/>
          <w:szCs w:val="28"/>
          <w:lang w:eastAsia="ar-SA"/>
        </w:rPr>
        <w:t>2.4.2. СОСТОЯНИЕ ПОВЕРХНОСТНЫХ И ПОДЗЕМНЫХ ВОД. РАЦИОНАЛЬНОЕ ИСПОЛЬЗОВАНИЕ ВОДНЫХ ОБЪЕКТОВ</w:t>
      </w:r>
      <w:bookmarkEnd w:id="6"/>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Качество рек поселения формируется под воздействием природных (заболоченность, литологическое строение подстилающих поверхностей, залесенность, распаханность водосборов) и антропогенных факторов.</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Основными источниками загрязнения рек поселения являются предприятия  промышленности и жилищно-коммунального хозяйства, действующие на территории Дмитриевского сельского поселения и стоки, поступающие в реки за пределами административного образования.</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неканализованных и необеспеченных очистными сооружениями территорий сельского поселения (поселение обеспечено выгребами), распаханных водосборов, особенно в водоохранных зонах рек, в период весеннего половодья и дождевых паводков, с поверхностным стоком в реки поступают дополнительные загрязняющие вещества. В отдельные сезоны года это приводит к резкому ухудшению качества воды и увеличению в воде отдельных показателей качества воды – взвешенные вещества, аммонийный, нитритный азот, фосфаты, нефтепродукты. Снижается содержание растворенного в воде кислорода.</w:t>
      </w:r>
    </w:p>
    <w:p>
      <w:pPr>
        <w:spacing w:after="0" w:line="240" w:lineRule="auto"/>
        <w:ind w:firstLine="90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Реки и озера на территории поселения относятся к рыбохозяйственной категории. Оценка качества вод выполняется в соответствии с нормативными требованиями данной категории. </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Кислородный режим реки в течение года удовлетворительный.</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Хозяйственно-питьевое водоснабжение в населенных пунктах поселения осуществляется из артезианских скважин и в большей степени из колодцев шахтного типа и родников. Однако, существует проблема обеспечения населения поселения качественной питьевой водой. Санитарное состояние колодцев находится на низком уровне.</w:t>
      </w:r>
    </w:p>
    <w:p>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всех эксплуатационных скважинах поселения выдержаны зоны санитарной охраны, радиусом 60 м. На скважинах не ведется мониторинг подземных вод из-за отсутствия специально оборудованных для этого оголовков скважин.</w:t>
      </w:r>
    </w:p>
    <w:p>
      <w:pPr>
        <w:spacing w:after="0" w:line="240" w:lineRule="auto"/>
        <w:ind w:firstLine="708"/>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подземных водах возможно повышенное содержание железа, сульфатов, фтора, что связано с природным загрязнением и «подтягиванием» солоноватых вод при работе водозаборных скважин. Влияние техногенных объектов как источников загрязнения, а также неудовлетворительное состояние и изношенность самих водозаборных сооружений могут оказывать негативное влияние на состояние подземных вод. </w:t>
      </w:r>
    </w:p>
    <w:p>
      <w:pPr>
        <w:spacing w:after="0"/>
        <w:ind w:firstLine="709"/>
        <w:contextualSpacing/>
        <w:jc w:val="both"/>
        <w:rPr>
          <w:rFonts w:ascii="Times New Roman" w:hAnsi="Times New Roman" w:eastAsia="Times New Roman" w:cs="Times New Roman"/>
          <w:sz w:val="24"/>
          <w:szCs w:val="24"/>
          <w:highlight w:val="yellow"/>
          <w:lang w:eastAsia="ru-RU"/>
        </w:rPr>
      </w:pPr>
      <w:r>
        <w:rPr>
          <w:rFonts w:ascii="Times New Roman" w:hAnsi="Times New Roman" w:eastAsia="Times New Roman" w:cs="Times New Roman"/>
          <w:sz w:val="24"/>
          <w:szCs w:val="24"/>
          <w:lang w:eastAsia="ru-RU"/>
        </w:rPr>
        <w:t>Подземные воды эксплуатационных горизонтов могут иметь как природное загрязнение, т. е. обусловлено исходным несоответствием нормативам по ряду естественных компонентов, так и техногенное загрязнение подземных вод, которое объясняется расположением действующих водозаборов в непосредственной близости от потенциальных источников загрязнения подземных вод (промышленные предприятия и объекты коммунального хозяйства) или связано с подтягиванием в процессе эксплуатации некондиционных природных вод. В результате эксплуатации подземных вод на водозаборах формируются депрессионные воронки, за счет чего в области питания водозаборов вовлекаются сформированные зоны загрязненных подземных вод. Кроме этого причина загрязнения связана с плохим состоянием скважинного хозяйства; даже в местах с относительно высокой природной защищенностью загрязнение определяется проникновением его по дефектным стволам и затрубным пространствам водозаборных скважин.</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Следует иметь в виду, что техногенное загрязнение подземных вод не всегда проявляется по массово определяемым показателям и может быть установлено лишь по данным определений микроэлементного состава вод или специфической органики. Поэтому целесообразно провести более подробные комплексные исследования химического состава подземных вод, направленные на выявление и распространение техногенного загрязнения, его типа, источника загрязнения, его миграционных свойств, на основе которых обосновать ряд реабилитационных мер по защите питьевых водозаборов от техногенного загрязнения и локализации возможных очагов загрязнения.</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Снижение или исключение техногенного загрязнения подземных вод может быть достигнуто правильной эксплуатацией и своевременным ремонтом скважин; своевременным тампонажем выведенных из эксплуатации скважин, а также путем рационального перераспределения водоотбора; внедрения систем подготовки воды перед подачей потребителю; выноса водозаборов из загрязненных мест. </w:t>
      </w:r>
    </w:p>
    <w:p>
      <w:pPr>
        <w:shd w:val="clear" w:color="auto" w:fill="FFFFFF"/>
        <w:spacing w:after="0" w:line="240" w:lineRule="auto"/>
        <w:ind w:firstLine="71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Среди основных факторов, обуславливающих низкое качество воды, подаваемой населению, следует выделить:</w:t>
      </w:r>
    </w:p>
    <w:p>
      <w:pPr>
        <w:numPr>
          <w:ilvl w:val="0"/>
          <w:numId w:val="14"/>
        </w:numPr>
        <w:shd w:val="clear" w:color="auto" w:fill="FFFFFF"/>
        <w:tabs>
          <w:tab w:val="left" w:pos="0"/>
          <w:tab w:val="clear" w:pos="1620"/>
        </w:tabs>
        <w:spacing w:after="0" w:line="240" w:lineRule="auto"/>
        <w:ind w:left="0" w:right="22" w:firstLine="713"/>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Неудовлетворительное техническое состояние артезианских скважин (большинство из них требуют ремонта).</w:t>
      </w:r>
    </w:p>
    <w:p>
      <w:pPr>
        <w:numPr>
          <w:ilvl w:val="0"/>
          <w:numId w:val="14"/>
        </w:numPr>
        <w:shd w:val="clear" w:color="auto" w:fill="FFFFFF"/>
        <w:tabs>
          <w:tab w:val="left" w:pos="0"/>
          <w:tab w:val="clear" w:pos="1620"/>
        </w:tabs>
        <w:spacing w:after="0" w:line="240" w:lineRule="auto"/>
        <w:ind w:left="0" w:right="22" w:firstLine="713"/>
        <w:contextualSpacing/>
        <w:jc w:val="both"/>
        <w:rPr>
          <w:rFonts w:ascii="Times New Roman" w:hAnsi="Times New Roman" w:eastAsia="Times New Roman" w:cs="Times New Roman"/>
          <w:spacing w:val="-24"/>
          <w:sz w:val="24"/>
          <w:szCs w:val="24"/>
          <w:lang w:eastAsia="ru-RU"/>
        </w:rPr>
      </w:pPr>
      <w:r>
        <w:rPr>
          <w:rFonts w:ascii="Times New Roman" w:hAnsi="Times New Roman" w:eastAsia="Times New Roman" w:cs="Times New Roman"/>
          <w:spacing w:val="-2"/>
          <w:sz w:val="24"/>
          <w:szCs w:val="24"/>
          <w:lang w:eastAsia="ru-RU"/>
        </w:rPr>
        <w:t>Неудовлетворительная работа по водоподготовке</w:t>
      </w:r>
      <w:r>
        <w:rPr>
          <w:rFonts w:ascii="Times New Roman" w:hAnsi="Times New Roman" w:eastAsia="Times New Roman" w:cs="Times New Roman"/>
          <w:sz w:val="24"/>
          <w:szCs w:val="24"/>
          <w:lang w:eastAsia="ru-RU"/>
        </w:rPr>
        <w:t>.</w:t>
      </w:r>
    </w:p>
    <w:p>
      <w:pPr>
        <w:numPr>
          <w:ilvl w:val="0"/>
          <w:numId w:val="14"/>
        </w:numPr>
        <w:shd w:val="clear" w:color="auto" w:fill="FFFFFF"/>
        <w:tabs>
          <w:tab w:val="left" w:pos="0"/>
          <w:tab w:val="clear" w:pos="1620"/>
        </w:tabs>
        <w:spacing w:after="0" w:line="240" w:lineRule="auto"/>
        <w:ind w:left="0" w:right="22" w:firstLine="713"/>
        <w:contextualSpacing/>
        <w:jc w:val="both"/>
        <w:rPr>
          <w:rFonts w:ascii="Times New Roman" w:hAnsi="Times New Roman" w:eastAsia="Times New Roman" w:cs="Times New Roman"/>
          <w:spacing w:val="-24"/>
          <w:sz w:val="24"/>
          <w:szCs w:val="24"/>
          <w:lang w:eastAsia="ru-RU"/>
        </w:rPr>
      </w:pPr>
      <w:r>
        <w:rPr>
          <w:rFonts w:ascii="Times New Roman" w:hAnsi="Times New Roman" w:eastAsia="Times New Roman" w:cs="Times New Roman"/>
          <w:sz w:val="24"/>
          <w:szCs w:val="24"/>
          <w:lang w:eastAsia="ru-RU"/>
        </w:rPr>
        <w:t>Отсутствие надлежащего контроля за качеством воды, забираемой из артезианских скважин.</w:t>
      </w:r>
    </w:p>
    <w:p>
      <w:pPr>
        <w:numPr>
          <w:ilvl w:val="0"/>
          <w:numId w:val="14"/>
        </w:numPr>
        <w:shd w:val="clear" w:color="auto" w:fill="FFFFFF"/>
        <w:tabs>
          <w:tab w:val="left" w:pos="0"/>
          <w:tab w:val="clear" w:pos="1620"/>
        </w:tabs>
        <w:spacing w:after="0" w:line="240" w:lineRule="auto"/>
        <w:ind w:left="0" w:right="22" w:firstLine="713"/>
        <w:contextualSpacing/>
        <w:jc w:val="both"/>
        <w:rPr>
          <w:rFonts w:ascii="Times New Roman" w:hAnsi="Times New Roman" w:eastAsia="Times New Roman" w:cs="Times New Roman"/>
          <w:spacing w:val="-24"/>
          <w:sz w:val="24"/>
          <w:szCs w:val="24"/>
          <w:lang w:eastAsia="ru-RU"/>
        </w:rPr>
      </w:pPr>
      <w:r>
        <w:rPr>
          <w:rFonts w:ascii="Times New Roman" w:hAnsi="Times New Roman" w:eastAsia="Times New Roman" w:cs="Times New Roman"/>
          <w:sz w:val="24"/>
          <w:szCs w:val="24"/>
          <w:lang w:eastAsia="ru-RU"/>
        </w:rPr>
        <w:t>Несоблюдение правил содержания санитарных охранных зон источников питьевого водоснабжения.</w:t>
      </w:r>
    </w:p>
    <w:p>
      <w:pPr>
        <w:numPr>
          <w:ilvl w:val="0"/>
          <w:numId w:val="14"/>
        </w:numPr>
        <w:shd w:val="clear" w:color="auto" w:fill="FFFFFF"/>
        <w:tabs>
          <w:tab w:val="left" w:pos="0"/>
          <w:tab w:val="clear" w:pos="1620"/>
        </w:tabs>
        <w:spacing w:after="0" w:line="240" w:lineRule="auto"/>
        <w:ind w:left="0" w:right="22" w:firstLine="713"/>
        <w:contextualSpacing/>
        <w:jc w:val="both"/>
        <w:rPr>
          <w:rFonts w:ascii="Times New Roman" w:hAnsi="Times New Roman" w:eastAsia="Times New Roman" w:cs="Times New Roman"/>
          <w:spacing w:val="-24"/>
          <w:sz w:val="24"/>
          <w:szCs w:val="24"/>
          <w:lang w:eastAsia="ru-RU"/>
        </w:rPr>
      </w:pPr>
      <w:r>
        <w:rPr>
          <w:rFonts w:ascii="Times New Roman" w:hAnsi="Times New Roman" w:eastAsia="Times New Roman" w:cs="Times New Roman"/>
          <w:sz w:val="24"/>
          <w:szCs w:val="24"/>
          <w:lang w:eastAsia="ru-RU"/>
        </w:rPr>
        <w:t xml:space="preserve">Наличие несанкционированных свалок, которые работают не в соответствии с экологическими требованиями, предъявляемыми к специализированным объектам для размещения отходов (например, гидроизоляция </w:t>
      </w:r>
      <w:r>
        <w:rPr>
          <w:rFonts w:ascii="Times New Roman" w:hAnsi="Times New Roman" w:eastAsia="Times New Roman" w:cs="Times New Roman"/>
          <w:spacing w:val="-3"/>
          <w:sz w:val="24"/>
          <w:szCs w:val="24"/>
          <w:lang w:eastAsia="ru-RU"/>
        </w:rPr>
        <w:t xml:space="preserve">подстилающей поверхности, мониторинга за качеством и динамикой </w:t>
      </w:r>
      <w:r>
        <w:rPr>
          <w:rFonts w:ascii="Times New Roman" w:hAnsi="Times New Roman" w:eastAsia="Times New Roman" w:cs="Times New Roman"/>
          <w:sz w:val="24"/>
          <w:szCs w:val="24"/>
          <w:lang w:eastAsia="ru-RU"/>
        </w:rPr>
        <w:t>подземных вод и т.п.).</w:t>
      </w:r>
    </w:p>
    <w:p>
      <w:pPr>
        <w:spacing w:after="0"/>
        <w:ind w:firstLine="426"/>
        <w:rPr>
          <w:rFonts w:ascii="Times New Roman" w:hAnsi="Times New Roman" w:eastAsia="Times New Roman" w:cs="Times New Roman"/>
          <w:sz w:val="24"/>
          <w:szCs w:val="24"/>
          <w:lang w:eastAsia="ru-RU"/>
        </w:rPr>
      </w:pPr>
    </w:p>
    <w:p>
      <w:pPr>
        <w:shd w:val="clear" w:color="auto" w:fill="FFFFFF"/>
        <w:spacing w:after="0"/>
        <w:ind w:firstLine="72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2.4.3. СОСТОЯНИЕ ПОЧВЕННОГО ПОКРОВА</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системе почвенно-географического районирования территория поселения принадлежит к таежно-лесной зоне подзолистых почв Восточно-Европейской фации. Помимо характерных зональных подзолистых и дерново-подзолистых почв на территории поселения имеют распространение </w:t>
      </w:r>
      <w:r>
        <w:rPr>
          <w:rFonts w:ascii="Times New Roman" w:hAnsi="Times New Roman" w:eastAsia="Calibri" w:cs="Times New Roman"/>
          <w:sz w:val="24"/>
          <w:szCs w:val="24"/>
          <w:lang w:eastAsia="ru-RU"/>
        </w:rPr>
        <w:t>супесчаны</w:t>
      </w:r>
      <w:r>
        <w:rPr>
          <w:rFonts w:ascii="Times New Roman" w:hAnsi="Times New Roman" w:eastAsia="Times New Roman" w:cs="Times New Roman"/>
          <w:sz w:val="24"/>
          <w:szCs w:val="24"/>
          <w:lang w:eastAsia="ru-RU"/>
        </w:rPr>
        <w:t>е</w:t>
      </w:r>
      <w:r>
        <w:rPr>
          <w:rFonts w:ascii="Times New Roman" w:hAnsi="Times New Roman" w:eastAsia="Calibri" w:cs="Times New Roman"/>
          <w:sz w:val="24"/>
          <w:szCs w:val="24"/>
          <w:lang w:eastAsia="ru-RU"/>
        </w:rPr>
        <w:t xml:space="preserve"> и суглинисты</w:t>
      </w:r>
      <w:r>
        <w:rPr>
          <w:rFonts w:ascii="Times New Roman" w:hAnsi="Times New Roman" w:eastAsia="Times New Roman" w:cs="Times New Roman"/>
          <w:sz w:val="24"/>
          <w:szCs w:val="24"/>
          <w:lang w:eastAsia="ru-RU"/>
        </w:rPr>
        <w:t>е</w:t>
      </w:r>
      <w:r>
        <w:rPr>
          <w:rFonts w:ascii="Times New Roman" w:hAnsi="Times New Roman" w:eastAsia="Times New Roman" w:cs="Times New Roman"/>
          <w:szCs w:val="29"/>
          <w:lang w:eastAsia="ru-RU"/>
        </w:rPr>
        <w:t xml:space="preserve"> </w:t>
      </w:r>
      <w:r>
        <w:rPr>
          <w:rFonts w:ascii="Times New Roman" w:hAnsi="Times New Roman" w:eastAsia="Times New Roman" w:cs="Times New Roman"/>
          <w:sz w:val="24"/>
          <w:szCs w:val="24"/>
          <w:lang w:eastAsia="ru-RU"/>
        </w:rPr>
        <w:t xml:space="preserve">почвы. </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lang w:eastAsia="ru-RU"/>
        </w:rPr>
        <w:t xml:space="preserve">Большая часть земель поселения подвержена деградации, территории используются не по прямому назначению. Почвы поселения истощены. Нормы по внесению удобрений не выдерживаются. </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поселение отсутствует полигон для захоронения твердых бытовых отходов, отвечающий экологическим, санитарно-эпидемиологическим, пожарным требованиям. При этом установлены очаги загрязнения не только в грунтовых водах, но и в нижележащем водоносном горизонте. Практически повсеместно захоронение отходов осуществляется с нарушением установленных требований. Санитарное состояние территории Дмитриевского сельского поселения можно назвать критическим. Почва, вследствие засорения и захламления бытовыми отходами, не соответствует санитарно-эпидемиологическим требованиям.</w:t>
      </w:r>
    </w:p>
    <w:p>
      <w:pPr>
        <w:spacing w:before="240" w:after="0" w:line="240" w:lineRule="auto"/>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8"/>
          <w:lang w:eastAsia="ru-RU"/>
        </w:rPr>
        <w:t>В Дмитриевском сельском поселении к числу наиболее распространенных  и опасных в экологическом отношении отходов относятся сельскохозяйственные и древесные отходы. Древесные отходы могут быть использованы в качестве топлива на котельных, помет и навоз – для удобрения полей, в связи с чем, хранение происходит непосредственно на территории или около существующих ферм и носит временный характер.</w:t>
      </w:r>
    </w:p>
    <w:p>
      <w:pPr>
        <w:spacing w:after="0"/>
        <w:ind w:firstLine="5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Дмитриевского сельского поселения расположен  сибиреязвенный скотомогильник (близ с. Колшево), являющийся опасными экологическим объектом в санитарно-эпидемиологическом отношении.</w:t>
      </w:r>
    </w:p>
    <w:p>
      <w:pPr>
        <w:spacing w:before="240" w:after="0"/>
        <w:ind w:firstLine="5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качестве мероприятий по обеспечению санитарно-эпидемиологической безопасности территории и здоровья населения предлагается:</w:t>
      </w:r>
    </w:p>
    <w:p>
      <w:pPr>
        <w:numPr>
          <w:ilvl w:val="0"/>
          <w:numId w:val="15"/>
        </w:numPr>
        <w:tabs>
          <w:tab w:val="left" w:pos="1260"/>
        </w:tabs>
        <w:spacing w:before="240"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комплекса мероприятий по защите населения от распространения инфекции сибирской язвы на прилегающих к скотомогильникам территориях;</w:t>
      </w:r>
    </w:p>
    <w:p>
      <w:pPr>
        <w:numPr>
          <w:ilvl w:val="0"/>
          <w:numId w:val="15"/>
        </w:numPr>
        <w:tabs>
          <w:tab w:val="left" w:pos="1260"/>
        </w:tabs>
        <w:spacing w:before="240"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оборудование санитарно-защитных зон скотомогильников в соответствии с действующими нормами и правилами;</w:t>
      </w:r>
    </w:p>
    <w:p>
      <w:pPr>
        <w:numPr>
          <w:ilvl w:val="0"/>
          <w:numId w:val="15"/>
        </w:numPr>
        <w:tabs>
          <w:tab w:val="left" w:pos="1260"/>
        </w:tabs>
        <w:spacing w:before="240"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лабораторный контроль почв и грунтовых вод в зоне скотомогильников и на территории жилой застройки, расположенной в СЗЗ скотомогильников; </w:t>
      </w:r>
    </w:p>
    <w:p>
      <w:pPr>
        <w:numPr>
          <w:ilvl w:val="0"/>
          <w:numId w:val="15"/>
        </w:numPr>
        <w:tabs>
          <w:tab w:val="left" w:pos="1260"/>
        </w:tabs>
        <w:spacing w:before="240"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стадии отвода земельных участков (в районах скотомогильников) под строительство и другие цели обязательный отбор проб для лабораторных исследований почвы на сибирскую язву;</w:t>
      </w:r>
    </w:p>
    <w:p>
      <w:pPr>
        <w:spacing w:before="240" w:after="0"/>
        <w:ind w:left="540"/>
        <w:rPr>
          <w:rFonts w:ascii="Times New Roman" w:hAnsi="Times New Roman" w:eastAsia="Times New Roman" w:cs="Times New Roman"/>
          <w:sz w:val="24"/>
          <w:szCs w:val="24"/>
          <w:highlight w:val="green"/>
          <w:lang w:eastAsia="ru-RU"/>
        </w:rPr>
      </w:pPr>
      <w:r>
        <w:rPr>
          <w:rFonts w:ascii="Times New Roman" w:hAnsi="Times New Roman" w:eastAsia="Times New Roman" w:cs="Times New Roman"/>
          <w:sz w:val="24"/>
          <w:szCs w:val="24"/>
          <w:lang w:eastAsia="ru-RU"/>
        </w:rPr>
        <w:t>- запрещение выдачи заключений по согласованию отводов земельных участков под строительство и другие цели без лабораторных исследований почвы на сибирскую язву в районах влияния скотомогильников;</w:t>
      </w:r>
    </w:p>
    <w:p>
      <w:pPr>
        <w:numPr>
          <w:ilvl w:val="0"/>
          <w:numId w:val="15"/>
        </w:numPr>
        <w:tabs>
          <w:tab w:val="left" w:pos="1260"/>
        </w:tabs>
        <w:spacing w:before="240"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разработка проектов создания биотермических ям для утилизации трупов животных.</w:t>
      </w:r>
    </w:p>
    <w:p>
      <w:pPr>
        <w:numPr>
          <w:ilvl w:val="1"/>
          <w:numId w:val="16"/>
        </w:numPr>
        <w:shd w:val="clear" w:color="auto" w:fill="FFFFFF"/>
        <w:suppressAutoHyphens/>
        <w:autoSpaceDE w:val="0"/>
        <w:autoSpaceDN w:val="0"/>
        <w:adjustRightInd w:val="0"/>
        <w:spacing w:before="240" w:after="0" w:line="240" w:lineRule="auto"/>
        <w:contextualSpacing/>
        <w:jc w:val="center"/>
        <w:rPr>
          <w:rFonts w:ascii="Times New Roman" w:hAnsi="Times New Roman" w:eastAsia="Times New Roman" w:cs="Times New Roman"/>
          <w:b/>
          <w:sz w:val="28"/>
          <w:szCs w:val="28"/>
          <w:lang w:eastAsia="ar-SA"/>
        </w:rPr>
      </w:pPr>
      <w:r>
        <w:rPr>
          <w:rFonts w:ascii="Times New Roman" w:hAnsi="Times New Roman" w:eastAsia="Times New Roman" w:cs="Times New Roman"/>
          <w:b/>
          <w:sz w:val="28"/>
          <w:szCs w:val="28"/>
          <w:lang w:eastAsia="ar-SA"/>
        </w:rPr>
        <w:t>СОЦИАЛЬНО-ЭКОНОМИЧЕСКАЯ СИТУАЦИЯ</w:t>
      </w:r>
    </w:p>
    <w:p>
      <w:pPr>
        <w:keepNext/>
        <w:keepLines/>
        <w:spacing w:before="480" w:after="0" w:line="240" w:lineRule="auto"/>
        <w:ind w:firstLine="426"/>
        <w:jc w:val="both"/>
        <w:outlineLvl w:val="0"/>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 xml:space="preserve">2.5.1. </w:t>
      </w:r>
      <w:bookmarkStart w:id="7" w:name="_Toc312173556"/>
      <w:bookmarkStart w:id="8" w:name="_Toc312170840"/>
      <w:r>
        <w:rPr>
          <w:rFonts w:ascii="Times New Roman" w:hAnsi="Times New Roman" w:eastAsia="Times New Roman" w:cs="Times New Roman"/>
          <w:b/>
          <w:bCs/>
          <w:sz w:val="24"/>
          <w:szCs w:val="28"/>
          <w:lang w:eastAsia="ru-RU"/>
        </w:rPr>
        <w:t>НАСЕЛЕНИЕ И ТРУДОВЫЕ РЕСУРСЫ. ПОЛОЖЕНИЕ В СИСТЕМЕ РАССЕЛЕНИЯ</w:t>
      </w:r>
      <w:bookmarkEnd w:id="7"/>
      <w:bookmarkEnd w:id="8"/>
    </w:p>
    <w:p>
      <w:pPr>
        <w:spacing w:after="0"/>
        <w:rPr>
          <w:rFonts w:ascii="Calibri" w:hAnsi="Calibri" w:eastAsia="Times New Roman" w:cs="Times New Roman"/>
          <w:lang w:eastAsia="ru-RU"/>
        </w:rPr>
      </w:pP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Анализ демографической ситуации является одной из важнейших составляющих 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того или иного региона. Зная численность населения на определенный период, можно прогнозировать численность и структуру занятых, объемы жилой застройки и социально-бытовой сферы.</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Характеристика существующей демографической ситуации производилась на основе данных, предоставленных администрацией поселения, в части общих численностей постоянного зарегистрированного населения.</w:t>
      </w:r>
    </w:p>
    <w:p>
      <w:pPr>
        <w:spacing w:after="0"/>
        <w:jc w:val="both"/>
        <w:rPr>
          <w:rFonts w:ascii="Times New Roman" w:hAnsi="Times New Roman" w:eastAsia="Times New Roman" w:cs="Times New Roman"/>
          <w:sz w:val="24"/>
          <w:szCs w:val="24"/>
          <w:lang w:eastAsia="ru-RU"/>
        </w:rPr>
      </w:pP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Численность населения на 01.01.2012 года по населенным пунктам </w:t>
      </w:r>
    </w:p>
    <w:tbl>
      <w:tblPr>
        <w:tblStyle w:val="2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2116"/>
        <w:gridCol w:w="1911"/>
        <w:gridCol w:w="1345"/>
        <w:gridCol w:w="1240"/>
        <w:gridCol w:w="1198"/>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Населенный</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пункт</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Зарегистрировано</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Проживает</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т.ч.</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дети до 15лет</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т.ч.</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 15 до 18 лет</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т.ч.</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 18 и старше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с.Колшево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431</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409</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22</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д.Лыково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д.Поделово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д.Ямново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д.Князево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27</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27</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д.Ивашево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77</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73</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с.Кистега</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48</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д.Голочелово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д.Аверино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98" w:type="dxa"/>
          </w:tcPr>
          <w:p>
            <w:pPr>
              <w:spacing w:after="0"/>
              <w:jc w:val="center"/>
              <w:rPr>
                <w:rFonts w:ascii="Times New Roman" w:hAnsi="Times New Roman" w:eastAsia="Times New Roman" w:cs="Times New Roman"/>
                <w:lang w:eastAsia="ru-RU"/>
              </w:rPr>
            </w:pP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д.Вьюшково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д.Корнилово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133</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109</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д.Вострово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д.Федосцыно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132</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94</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д.Крапивки</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79</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15.</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д.Чуприяново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16.</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Артюково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17.</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Безносово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18.</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Белоногово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19.</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Горянцево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20.</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Деревнище</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21.</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Игнатцево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22.</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Леньево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23.</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Лобаново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24.</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Лысково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25.</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Михальцево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26.</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Нянькино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27.</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Саловица</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28.</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Селиверстово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29.</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Сокерино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Сорвирогово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31.</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Узорокино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32.</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Широково</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33.</w:t>
            </w:r>
          </w:p>
        </w:tc>
        <w:tc>
          <w:tcPr>
            <w:tcW w:w="2116"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 Шишкино Малое</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345"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0</w:t>
            </w:r>
          </w:p>
        </w:tc>
        <w:tc>
          <w:tcPr>
            <w:tcW w:w="124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19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7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1" w:type="dxa"/>
          </w:tcPr>
          <w:p>
            <w:pPr>
              <w:spacing w:after="0"/>
              <w:jc w:val="center"/>
              <w:rPr>
                <w:rFonts w:ascii="Times New Roman" w:hAnsi="Times New Roman" w:eastAsia="Times New Roman" w:cs="Times New Roman"/>
                <w:lang w:eastAsia="ru-RU"/>
              </w:rPr>
            </w:pPr>
          </w:p>
        </w:tc>
        <w:tc>
          <w:tcPr>
            <w:tcW w:w="2116"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Итого</w:t>
            </w:r>
          </w:p>
        </w:tc>
        <w:tc>
          <w:tcPr>
            <w:tcW w:w="1911"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990</w:t>
            </w:r>
          </w:p>
        </w:tc>
        <w:tc>
          <w:tcPr>
            <w:tcW w:w="1345"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809</w:t>
            </w:r>
          </w:p>
        </w:tc>
        <w:tc>
          <w:tcPr>
            <w:tcW w:w="1240"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92</w:t>
            </w:r>
          </w:p>
        </w:tc>
        <w:tc>
          <w:tcPr>
            <w:tcW w:w="1198"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38</w:t>
            </w:r>
          </w:p>
        </w:tc>
        <w:tc>
          <w:tcPr>
            <w:tcW w:w="1270" w:type="dxa"/>
          </w:tcPr>
          <w:p>
            <w:pPr>
              <w:spacing w:after="0"/>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679</w:t>
            </w:r>
          </w:p>
        </w:tc>
      </w:tr>
    </w:tbl>
    <w:p>
      <w:pPr>
        <w:spacing w:after="0"/>
        <w:rPr>
          <w:rFonts w:ascii="Times New Roman" w:hAnsi="Times New Roman" w:eastAsia="Times New Roman" w:cs="Times New Roman"/>
          <w:sz w:val="24"/>
          <w:szCs w:val="24"/>
          <w:lang w:eastAsia="ru-RU"/>
        </w:rPr>
      </w:pP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Трудоспособное население в возрасте от 18 до 60 лет составляет 445 человек  (55%), дети и молодежь от 0 до 20 лет – 121 человек  (15%).Рождаемость в 2011 году составила 8 человек , за 7 месяцев 2012 года 6 человек. Смертность в 2011 году составила 22 человека, за 7 месяцев 2012 года  19 человек.</w:t>
      </w:r>
    </w:p>
    <w:p>
      <w:pPr>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Уровень заработной платы по поселению составляет 7500 рублей.</w:t>
      </w:r>
    </w:p>
    <w:p>
      <w:pPr>
        <w:spacing w:after="0" w:line="240" w:lineRule="auto"/>
        <w:ind w:firstLine="56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Демографическая ситуация в поселении, как и в Ивановской области в целом, характеризуется продолжающимся процессом естественной убыли населения, причиной которой является превышение числа умерших над числом родившихся.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фоне общего снижения численности населения, связанного с ростом смертности и снижением рождаемости, в Дмитриевском сельском поселении наблюдается и уменьшение численности трудовых ресурсов.</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Таким образом, в поселении складывается неблагоприятная демографическая ситуация. Изменить сегодняшнюю ситуацию возможно только при улучшении общей экономической ситуации и с учетом действий органов местного самоуправления по реализации стратегии и схемы территориального планирования.</w:t>
      </w:r>
    </w:p>
    <w:p>
      <w:pPr>
        <w:spacing w:before="120" w:after="0" w:line="240" w:lineRule="auto"/>
        <w:ind w:firstLine="709"/>
        <w:contextualSpacing/>
        <w:outlineLvl w:val="6"/>
        <w:rPr>
          <w:rFonts w:ascii="Times New Roman" w:hAnsi="Times New Roman" w:eastAsia="Calibri" w:cs="Times New Roman"/>
          <w:b/>
          <w:sz w:val="24"/>
          <w:szCs w:val="24"/>
        </w:rPr>
      </w:pPr>
      <w:r>
        <w:rPr>
          <w:rFonts w:ascii="Times New Roman" w:hAnsi="Times New Roman" w:eastAsia="Calibri" w:cs="Times New Roman"/>
          <w:b/>
          <w:sz w:val="24"/>
          <w:szCs w:val="24"/>
          <w:lang w:val="zh-CN"/>
        </w:rPr>
        <w:t>Положение в системе расселения</w:t>
      </w:r>
    </w:p>
    <w:p>
      <w:pPr>
        <w:spacing w:before="120" w:after="0" w:line="240" w:lineRule="auto"/>
        <w:ind w:firstLine="709"/>
        <w:contextualSpacing/>
        <w:outlineLvl w:val="6"/>
        <w:rPr>
          <w:rFonts w:ascii="Times New Roman" w:hAnsi="Times New Roman" w:eastAsia="Calibri" w:cs="Times New Roman"/>
          <w:b/>
          <w:sz w:val="24"/>
          <w:szCs w:val="24"/>
        </w:rPr>
      </w:pPr>
    </w:p>
    <w:p>
      <w:pPr>
        <w:spacing w:after="0"/>
        <w:ind w:firstLine="426"/>
        <w:rPr>
          <w:rFonts w:ascii="Times New Roman" w:hAnsi="Times New Roman" w:eastAsia="Times New Roman" w:cs="Times New Roman"/>
          <w:sz w:val="24"/>
          <w:szCs w:val="24"/>
          <w:lang w:eastAsia="ru-RU"/>
        </w:rPr>
      </w:pPr>
      <w:bookmarkStart w:id="9" w:name="_Toc248747356"/>
      <w:bookmarkStart w:id="10" w:name="_Toc248575716"/>
      <w:r>
        <w:rPr>
          <w:rFonts w:ascii="Times New Roman" w:hAnsi="Times New Roman" w:eastAsia="Times New Roman" w:cs="Times New Roman"/>
          <w:sz w:val="24"/>
          <w:szCs w:val="24"/>
          <w:lang w:eastAsia="ru-RU"/>
        </w:rPr>
        <w:t>В Дмитриевском сельском поселении за последние годы наметилась устойчивая тенденция к сокращению численности населения.</w:t>
      </w: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Дмитриевском сельском поселении выделяют  2 основных центра расселения: наиболее крупных населенных пункта поселения с развитой системой культурно-бытового обслуживания, являющиеся важными планировочными центрами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Село Колшево — Центр Дмитриевского сельского поселения с численностью населения — 409 чел. Численность населения поселения — 809 чел. Достопримечательности: храм Смоленской иконы Божьей матери, памятник П.Ф. Соболеву, первому председателю сельсовета, обелиск павшим воинам в годы Великой Отечественной войны 1941-1945 г. Учреждения социальной сферы: Колшевская средняя школа, детский сад, сельский Дом культуры, ФАП, сельская библиотека.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Деревня Корнилово — населенный пункт Дмитриевского сельского поселения с численностью населения — 109 чел. На территории деревни располагаются сельский клуб, библиотека.</w:t>
      </w: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Сложившееся сельское расселение отражает взаимосвязь физико-географических условий, исторических особенностей заселения территории, её хозяйственного освоения. Оно определяется относительно благоприятными условиями для развития сельского хозяйства, имеющимся потенциалом сельскохозяйственных земель, развитостью агропромышленного комплекса.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Размещение объектов капитального строительства целесообразно в центрах  поселений и населенных пунктах с численностью населения более 100 человек, особенно это касается объектов социальной инфраструктуры.</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Предлагаемые мероприятия по территориальному планированию  в области изменения границ сельскохозяйственных угодий, расширения сети особо охраняемых территорий и их использование для активизации туристско-рекреационной деятельности могут повлиять на возрождение малых сельских населенных пунктов, так как в летние месяцы, заброшенные деревни оживают с приездом горожан-дачников.</w:t>
      </w:r>
    </w:p>
    <w:p>
      <w:pPr>
        <w:keepNext/>
        <w:keepLines/>
        <w:spacing w:after="0"/>
        <w:ind w:left="709"/>
        <w:outlineLvl w:val="2"/>
        <w:rPr>
          <w:rFonts w:ascii="Times New Roman" w:hAnsi="Times New Roman" w:eastAsia="Times New Roman" w:cs="Times New Roman"/>
          <w:b/>
          <w:bCs/>
          <w:sz w:val="24"/>
          <w:lang w:eastAsia="ru-RU"/>
        </w:rPr>
      </w:pPr>
      <w:r>
        <w:rPr>
          <w:rFonts w:ascii="Times New Roman" w:hAnsi="Times New Roman" w:eastAsia="Times New Roman" w:cs="Times New Roman"/>
          <w:b/>
          <w:bCs/>
          <w:sz w:val="24"/>
          <w:lang w:eastAsia="ru-RU"/>
        </w:rPr>
        <w:t>Принципы формирования и перспективы развития системы</w:t>
      </w:r>
      <w:r>
        <w:rPr>
          <w:rFonts w:ascii="Times New Roman" w:hAnsi="Times New Roman" w:eastAsia="Times New Roman" w:cs="Times New Roman"/>
          <w:b/>
          <w:bCs/>
          <w:sz w:val="24"/>
          <w:lang w:eastAsia="ru-RU"/>
        </w:rPr>
        <w:br w:type="textWrapping"/>
      </w:r>
      <w:r>
        <w:rPr>
          <w:rFonts w:ascii="Times New Roman" w:hAnsi="Times New Roman" w:eastAsia="Times New Roman" w:cs="Times New Roman"/>
          <w:b/>
          <w:bCs/>
          <w:sz w:val="24"/>
          <w:lang w:eastAsia="ru-RU"/>
        </w:rPr>
        <w:t>расселения</w:t>
      </w:r>
      <w:bookmarkEnd w:id="9"/>
      <w:bookmarkEnd w:id="10"/>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Общий принцип градостроительного развития системы расселения Дмитриевского сельского  поселения - «иерархизация», подразумевающий формирование центра обслуживания поселения и организация кустовых систем обслуживания. </w:t>
      </w:r>
    </w:p>
    <w:p>
      <w:pPr>
        <w:spacing w:before="240" w:after="0" w:line="240" w:lineRule="auto"/>
        <w:ind w:firstLine="709"/>
        <w:contextualSpacing/>
        <w:jc w:val="both"/>
        <w:rPr>
          <w:rFonts w:ascii="Times New Roman" w:hAnsi="Times New Roman" w:eastAsia="Times New Roman" w:cs="Times New Roman"/>
          <w:sz w:val="24"/>
          <w:szCs w:val="24"/>
          <w:lang w:eastAsia="ru-RU"/>
        </w:rPr>
      </w:pP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Важное значение в дифференцированном подходе к сельским населенным пунктам занимает выбор пунктов интенсивного развития, которые являются или в перспективе могут стать центрами первичного звена расселения. В проекте выбор произведен с учетом производственных, социальных и градостроительных факторов, среди которых определяющими являются следующие:</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экономико-географическое положение населенного пункта;</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место населенного пункта в сложившейся и намечаемой на перспективу системе хозяйства и расселения;</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наличие и состав объектов производственного и культурно-бытового назначения, их перспективы развития;</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численность и структура населения;</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наличие транспортных связей с районным центром и другими населенными пунктами.</w:t>
      </w:r>
    </w:p>
    <w:p>
      <w:pPr>
        <w:spacing w:before="240" w:after="0" w:line="240" w:lineRule="auto"/>
        <w:ind w:firstLine="709"/>
        <w:contextualSpacing/>
        <w:jc w:val="both"/>
        <w:rPr>
          <w:rFonts w:ascii="Times New Roman" w:hAnsi="Times New Roman" w:eastAsia="Times New Roman" w:cs="Times New Roman"/>
          <w:sz w:val="24"/>
          <w:szCs w:val="24"/>
          <w:lang w:eastAsia="ru-RU"/>
        </w:rPr>
      </w:pP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результате анализа существующего положения и в целях дифференцированного подхода при перспективном проектировании все населенные пункты, по характеру применяемых к ним средств градостроительного регулирования распределены на 2 группы:</w:t>
      </w:r>
    </w:p>
    <w:p>
      <w:pPr>
        <w:spacing w:before="240" w:after="0" w:line="240" w:lineRule="auto"/>
        <w:ind w:firstLine="709"/>
        <w:contextualSpacing/>
        <w:jc w:val="both"/>
        <w:rPr>
          <w:rFonts w:ascii="Times New Roman" w:hAnsi="Times New Roman" w:eastAsia="Times New Roman" w:cs="Times New Roman"/>
          <w:sz w:val="24"/>
          <w:szCs w:val="24"/>
          <w:u w:val="single"/>
          <w:lang w:eastAsia="ru-RU"/>
        </w:rPr>
      </w:pP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u w:val="single"/>
          <w:lang w:eastAsia="ru-RU"/>
        </w:rPr>
        <w:t>1. Развиваемые населенные пункты</w:t>
      </w:r>
      <w:r>
        <w:rPr>
          <w:rFonts w:ascii="Times New Roman" w:hAnsi="Times New Roman" w:eastAsia="Times New Roman" w:cs="Times New Roman"/>
          <w:sz w:val="24"/>
          <w:szCs w:val="24"/>
          <w:lang w:eastAsia="ru-RU"/>
        </w:rPr>
        <w:t xml:space="preserve"> – в основном, современные центры хозяйств и крупные несельскохозяйственные населенные пункты, имеющие базу для дальнейшего экономического развития. В этих населенных пунктах предусматривается размещение нового капитального жилищного строительства и различных промышленных и обслуживающих предприятий и учреждений (переработки сельхоз и лесного сырья, стройиндустрии, бытового обслуживания и др.), а также связанное с этим расширение и реконструкция инженерного оборудования (локальные системы водоснабжения, канализации). </w:t>
      </w:r>
    </w:p>
    <w:p>
      <w:pPr>
        <w:spacing w:before="240" w:after="0" w:line="240" w:lineRule="auto"/>
        <w:ind w:firstLine="709"/>
        <w:contextualSpacing/>
        <w:jc w:val="both"/>
        <w:rPr>
          <w:rFonts w:ascii="Times New Roman" w:hAnsi="Times New Roman" w:eastAsia="Times New Roman" w:cs="Times New Roman"/>
          <w:sz w:val="24"/>
          <w:szCs w:val="24"/>
          <w:u w:val="single"/>
          <w:lang w:eastAsia="ru-RU"/>
        </w:rPr>
      </w:pPr>
    </w:p>
    <w:p>
      <w:pPr>
        <w:spacing w:before="240" w:after="0" w:line="240" w:lineRule="auto"/>
        <w:ind w:firstLine="709"/>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sz w:val="24"/>
          <w:szCs w:val="24"/>
          <w:u w:val="single"/>
          <w:lang w:eastAsia="ru-RU"/>
        </w:rPr>
        <w:t>2. Сохраняемые населенные пункты.</w:t>
      </w:r>
      <w:r>
        <w:rPr>
          <w:rFonts w:ascii="Times New Roman" w:hAnsi="Times New Roman" w:eastAsia="Times New Roman" w:cs="Times New Roman"/>
          <w:sz w:val="24"/>
          <w:szCs w:val="24"/>
          <w:lang w:eastAsia="ru-RU"/>
        </w:rPr>
        <w:t xml:space="preserve"> Для этих населенных пунктов экономическая база развития ко времени проектирования не выявлена. В этих населенных пунктах предлагается осуществление капитального текущего ремонта и осуществление индивидуального строительства. </w:t>
      </w:r>
    </w:p>
    <w:p>
      <w:pPr>
        <w:spacing w:before="240" w:after="0" w:line="240" w:lineRule="auto"/>
        <w:contextualSpacing/>
        <w:rPr>
          <w:rFonts w:ascii="Times New Roman" w:hAnsi="Times New Roman" w:eastAsia="Times New Roman" w:cs="Times New Roman"/>
          <w:sz w:val="24"/>
          <w:szCs w:val="24"/>
          <w:lang w:eastAsia="ru-RU"/>
        </w:rPr>
      </w:pP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Проектом предусматривается сохранение существующей на данный момент сети населенных пунктов. Новые населенные пункты, в пределах срока планирования на территории поселения создаваться не будут. </w:t>
      </w:r>
    </w:p>
    <w:p>
      <w:pPr>
        <w:spacing w:before="240" w:after="0" w:line="240" w:lineRule="auto"/>
        <w:ind w:firstLine="709"/>
        <w:contextualSpacing/>
        <w:jc w:val="both"/>
        <w:rPr>
          <w:rFonts w:ascii="Times New Roman" w:hAnsi="Times New Roman" w:eastAsia="Times New Roman" w:cs="Times New Roman"/>
          <w:sz w:val="24"/>
          <w:szCs w:val="24"/>
          <w:lang w:eastAsia="ru-RU"/>
        </w:rPr>
      </w:pP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учётом современной демографической ситуации, перспектив развития локальных систем расселения и отдельных населённых мест в рамках схемы предлагаются к реализации следующие основные мероприятия:</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Стимулирование развития центрального сельского населенного пункта – с. Воздвиженье путем концентрации в нем всего капитального строительства (производственного, жилищного и культурно-бытового).</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Укрупнение сельских населенных пунктов и застройка наиболее значимых из них.</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Рациональная концентрация сельского населения в ограниченном числе населенных пунктов с целью организации более высокого уровня и комфортности проживания, обслуживания, а также получения экономического эффекта от концентрации строительства;</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сближения мест расселения сельского населения с местами приложения труда, с центрами обслуживания, с целью максимального сокращения нерациональных трудовых и культурно-бытовых передвижений;</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развитие коммуникаций, обеспечивающих интеграцию населенных пунктов в местную поселенческую структуру и включение этой структуры в единую систему расселения района.</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Первоочередными мероприятиями при формировании перспективной системы расселения являются:</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строительство (проведение реконструкции и капитального ремонта) дорожно-транспортной сети, обеспечивающей связь всех населенных пунктов;</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улучшение социально-бытовых условий жизни в сельской местности.</w:t>
      </w:r>
    </w:p>
    <w:p>
      <w:pPr>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указанных мероприятий позволит обеспечить нормативную 30-минутную транспортную доступность к местам приложения труда и учреждениям повседневного и частично периодического пользования.</w:t>
      </w:r>
    </w:p>
    <w:p>
      <w:pPr>
        <w:keepNext/>
        <w:keepLines/>
        <w:spacing w:before="480" w:after="0"/>
        <w:ind w:firstLine="709"/>
        <w:outlineLvl w:val="0"/>
        <w:rPr>
          <w:rFonts w:ascii="Times New Roman" w:hAnsi="Times New Roman" w:eastAsia="Times New Roman" w:cs="Times New Roman"/>
          <w:b/>
          <w:bCs/>
          <w:sz w:val="24"/>
          <w:szCs w:val="28"/>
          <w:lang w:eastAsia="ru-RU"/>
        </w:rPr>
      </w:pPr>
      <w:bookmarkStart w:id="11" w:name="_Toc312173557"/>
      <w:bookmarkStart w:id="12" w:name="_Toc312170841"/>
      <w:r>
        <w:rPr>
          <w:rFonts w:ascii="Times New Roman" w:hAnsi="Times New Roman" w:eastAsia="Times New Roman" w:cs="Times New Roman"/>
          <w:b/>
          <w:bCs/>
          <w:sz w:val="24"/>
          <w:szCs w:val="28"/>
          <w:lang w:eastAsia="ru-RU"/>
        </w:rPr>
        <w:t>2.5.2. ЭКОНОМИЧЕСКАЯ СИТУАЦИЯ</w:t>
      </w:r>
      <w:bookmarkEnd w:id="11"/>
      <w:bookmarkEnd w:id="12"/>
    </w:p>
    <w:p>
      <w:pPr>
        <w:rPr>
          <w:rFonts w:ascii="Calibri" w:hAnsi="Calibri" w:eastAsia="Times New Roman" w:cs="Times New Roman"/>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Сельскохозяйственные земли занимают значительную часть территории Дмитриевского сельского поселения. </w:t>
      </w:r>
    </w:p>
    <w:p>
      <w:pPr>
        <w:spacing w:after="0"/>
        <w:ind w:firstLine="426"/>
        <w:jc w:val="both"/>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Перечень</w:t>
      </w:r>
      <w:r>
        <w:rPr>
          <w:rFonts w:ascii="Times New Roman" w:hAnsi="Times New Roman" w:eastAsia="Times New Roman" w:cs="Times New Roman"/>
          <w:b/>
          <w:lang w:eastAsia="ru-RU"/>
        </w:rPr>
        <w:t xml:space="preserve"> </w:t>
      </w:r>
      <w:r>
        <w:rPr>
          <w:rFonts w:ascii="Times New Roman" w:hAnsi="Times New Roman" w:eastAsia="Times New Roman" w:cs="Times New Roman"/>
          <w:b/>
          <w:sz w:val="24"/>
          <w:szCs w:val="24"/>
          <w:lang w:eastAsia="ru-RU"/>
        </w:rPr>
        <w:t>земельных участков Дмитриевского сельского поселения</w:t>
      </w:r>
    </w:p>
    <w:p>
      <w:pPr>
        <w:spacing w:after="0"/>
        <w:jc w:val="center"/>
        <w:rPr>
          <w:rFonts w:ascii="Times New Roman" w:hAnsi="Times New Roman" w:eastAsia="Times New Roman" w:cs="Times New Roman"/>
          <w:b/>
          <w:sz w:val="24"/>
          <w:szCs w:val="24"/>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Земли сельской администрации</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1276"/>
        <w:gridCol w:w="708"/>
        <w:gridCol w:w="993"/>
        <w:gridCol w:w="992"/>
        <w:gridCol w:w="709"/>
        <w:gridCol w:w="850"/>
        <w:gridCol w:w="1134"/>
        <w:gridCol w:w="567"/>
        <w:gridCol w:w="709"/>
        <w:gridCol w:w="567"/>
        <w:gridCol w:w="661"/>
        <w:gridCol w:w="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709"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Общая нас. п.</w:t>
            </w:r>
          </w:p>
        </w:tc>
        <w:tc>
          <w:tcPr>
            <w:tcW w:w="85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собств.</w:t>
            </w:r>
          </w:p>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граждан</w:t>
            </w:r>
          </w:p>
        </w:tc>
        <w:tc>
          <w:tcPr>
            <w:tcW w:w="1276"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государственной и муниципальной собственности</w:t>
            </w:r>
          </w:p>
        </w:tc>
        <w:tc>
          <w:tcPr>
            <w:tcW w:w="2693" w:type="dxa"/>
            <w:gridSpan w:val="3"/>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За пределами нас.п.</w:t>
            </w:r>
          </w:p>
        </w:tc>
        <w:tc>
          <w:tcPr>
            <w:tcW w:w="709"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Лесные земли</w:t>
            </w:r>
          </w:p>
        </w:tc>
        <w:tc>
          <w:tcPr>
            <w:tcW w:w="850"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Покрытые лесом</w:t>
            </w:r>
          </w:p>
        </w:tc>
        <w:tc>
          <w:tcPr>
            <w:tcW w:w="1134"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Покрытые лесом не лесного фонда</w:t>
            </w:r>
          </w:p>
        </w:tc>
        <w:tc>
          <w:tcPr>
            <w:tcW w:w="567"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водой</w:t>
            </w:r>
          </w:p>
        </w:tc>
        <w:tc>
          <w:tcPr>
            <w:tcW w:w="709"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застройками</w:t>
            </w:r>
          </w:p>
        </w:tc>
        <w:tc>
          <w:tcPr>
            <w:tcW w:w="567"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Дороги всего</w:t>
            </w:r>
          </w:p>
        </w:tc>
        <w:tc>
          <w:tcPr>
            <w:tcW w:w="66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т.ч. грунтовые</w:t>
            </w:r>
          </w:p>
        </w:tc>
        <w:tc>
          <w:tcPr>
            <w:tcW w:w="473"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прочие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709" w:type="dxa"/>
            <w:vMerge w:val="continue"/>
          </w:tcPr>
          <w:p>
            <w:pPr>
              <w:spacing w:after="0"/>
              <w:jc w:val="center"/>
              <w:rPr>
                <w:rFonts w:ascii="Times New Roman" w:hAnsi="Times New Roman" w:eastAsia="Times New Roman" w:cs="Times New Roman"/>
                <w:sz w:val="18"/>
                <w:szCs w:val="18"/>
                <w:lang w:eastAsia="ru-RU"/>
              </w:rPr>
            </w:pPr>
          </w:p>
        </w:tc>
        <w:tc>
          <w:tcPr>
            <w:tcW w:w="851" w:type="dxa"/>
            <w:vMerge w:val="continue"/>
          </w:tcPr>
          <w:p>
            <w:pPr>
              <w:spacing w:after="0"/>
              <w:jc w:val="center"/>
              <w:rPr>
                <w:rFonts w:ascii="Times New Roman" w:hAnsi="Times New Roman" w:eastAsia="Times New Roman" w:cs="Times New Roman"/>
                <w:sz w:val="18"/>
                <w:szCs w:val="18"/>
                <w:lang w:eastAsia="ru-RU"/>
              </w:rPr>
            </w:pPr>
          </w:p>
        </w:tc>
        <w:tc>
          <w:tcPr>
            <w:tcW w:w="1276" w:type="dxa"/>
            <w:vMerge w:val="continue"/>
          </w:tcPr>
          <w:p>
            <w:pPr>
              <w:spacing w:after="0"/>
              <w:jc w:val="center"/>
              <w:rPr>
                <w:rFonts w:ascii="Times New Roman" w:hAnsi="Times New Roman" w:eastAsia="Times New Roman" w:cs="Times New Roman"/>
                <w:sz w:val="18"/>
                <w:szCs w:val="18"/>
                <w:lang w:eastAsia="ru-RU"/>
              </w:rPr>
            </w:pPr>
          </w:p>
        </w:tc>
        <w:tc>
          <w:tcPr>
            <w:tcW w:w="70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т.ч. закрепленных за гражданами</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Из них в собственности граждан</w:t>
            </w:r>
          </w:p>
        </w:tc>
        <w:tc>
          <w:tcPr>
            <w:tcW w:w="709" w:type="dxa"/>
            <w:vMerge w:val="continue"/>
          </w:tcPr>
          <w:p>
            <w:pPr>
              <w:spacing w:after="0"/>
              <w:jc w:val="center"/>
              <w:rPr>
                <w:rFonts w:ascii="Times New Roman" w:hAnsi="Times New Roman" w:eastAsia="Times New Roman" w:cs="Times New Roman"/>
                <w:sz w:val="18"/>
                <w:szCs w:val="18"/>
                <w:lang w:eastAsia="ru-RU"/>
              </w:rPr>
            </w:pPr>
          </w:p>
        </w:tc>
        <w:tc>
          <w:tcPr>
            <w:tcW w:w="850" w:type="dxa"/>
            <w:vMerge w:val="continue"/>
          </w:tcPr>
          <w:p>
            <w:pPr>
              <w:spacing w:after="0"/>
              <w:jc w:val="center"/>
              <w:rPr>
                <w:rFonts w:ascii="Times New Roman" w:hAnsi="Times New Roman" w:eastAsia="Times New Roman" w:cs="Times New Roman"/>
                <w:sz w:val="18"/>
                <w:szCs w:val="18"/>
                <w:lang w:eastAsia="ru-RU"/>
              </w:rPr>
            </w:pPr>
          </w:p>
        </w:tc>
        <w:tc>
          <w:tcPr>
            <w:tcW w:w="1134" w:type="dxa"/>
            <w:vMerge w:val="continue"/>
          </w:tcPr>
          <w:p>
            <w:pPr>
              <w:spacing w:after="0"/>
              <w:jc w:val="center"/>
              <w:rPr>
                <w:rFonts w:ascii="Times New Roman" w:hAnsi="Times New Roman" w:eastAsia="Times New Roman" w:cs="Times New Roman"/>
                <w:sz w:val="18"/>
                <w:szCs w:val="18"/>
                <w:lang w:eastAsia="ru-RU"/>
              </w:rPr>
            </w:pPr>
          </w:p>
        </w:tc>
        <w:tc>
          <w:tcPr>
            <w:tcW w:w="567" w:type="dxa"/>
            <w:vMerge w:val="continue"/>
          </w:tcPr>
          <w:p>
            <w:pPr>
              <w:spacing w:after="0"/>
              <w:jc w:val="center"/>
              <w:rPr>
                <w:rFonts w:ascii="Times New Roman" w:hAnsi="Times New Roman" w:eastAsia="Times New Roman" w:cs="Times New Roman"/>
                <w:sz w:val="18"/>
                <w:szCs w:val="18"/>
                <w:lang w:eastAsia="ru-RU"/>
              </w:rPr>
            </w:pPr>
          </w:p>
        </w:tc>
        <w:tc>
          <w:tcPr>
            <w:tcW w:w="709" w:type="dxa"/>
            <w:vMerge w:val="continue"/>
          </w:tcPr>
          <w:p>
            <w:pPr>
              <w:spacing w:after="0"/>
              <w:jc w:val="center"/>
              <w:rPr>
                <w:rFonts w:ascii="Times New Roman" w:hAnsi="Times New Roman" w:eastAsia="Times New Roman" w:cs="Times New Roman"/>
                <w:sz w:val="18"/>
                <w:szCs w:val="18"/>
                <w:lang w:eastAsia="ru-RU"/>
              </w:rPr>
            </w:pPr>
          </w:p>
        </w:tc>
        <w:tc>
          <w:tcPr>
            <w:tcW w:w="567" w:type="dxa"/>
            <w:vMerge w:val="continue"/>
          </w:tcPr>
          <w:p>
            <w:pPr>
              <w:spacing w:after="0"/>
              <w:jc w:val="center"/>
              <w:rPr>
                <w:rFonts w:ascii="Times New Roman" w:hAnsi="Times New Roman" w:eastAsia="Times New Roman" w:cs="Times New Roman"/>
                <w:sz w:val="18"/>
                <w:szCs w:val="18"/>
                <w:lang w:eastAsia="ru-RU"/>
              </w:rPr>
            </w:pPr>
          </w:p>
        </w:tc>
        <w:tc>
          <w:tcPr>
            <w:tcW w:w="661" w:type="dxa"/>
            <w:vMerge w:val="continue"/>
          </w:tcPr>
          <w:p>
            <w:pPr>
              <w:spacing w:after="0"/>
              <w:jc w:val="center"/>
              <w:rPr>
                <w:rFonts w:ascii="Times New Roman" w:hAnsi="Times New Roman" w:eastAsia="Times New Roman" w:cs="Times New Roman"/>
                <w:sz w:val="18"/>
                <w:szCs w:val="18"/>
                <w:lang w:eastAsia="ru-RU"/>
              </w:rPr>
            </w:pPr>
          </w:p>
        </w:tc>
        <w:tc>
          <w:tcPr>
            <w:tcW w:w="473" w:type="dxa"/>
            <w:vMerge w:val="continue"/>
          </w:tcPr>
          <w:p>
            <w:pPr>
              <w:spacing w:after="0"/>
              <w:jc w:val="center"/>
              <w:rPr>
                <w:rFonts w:ascii="Times New Roman" w:hAnsi="Times New Roman" w:eastAsia="Times New Roman" w:cs="Times New Roman"/>
                <w:sz w:val="18"/>
                <w:szCs w:val="18"/>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199</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46</w:t>
            </w:r>
          </w:p>
        </w:tc>
        <w:tc>
          <w:tcPr>
            <w:tcW w:w="1276"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153</w:t>
            </w:r>
          </w:p>
        </w:tc>
        <w:tc>
          <w:tcPr>
            <w:tcW w:w="70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72</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72</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46</w:t>
            </w:r>
          </w:p>
        </w:tc>
        <w:tc>
          <w:tcPr>
            <w:tcW w:w="70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w:t>
            </w:r>
          </w:p>
        </w:tc>
        <w:tc>
          <w:tcPr>
            <w:tcW w:w="56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w:t>
            </w:r>
          </w:p>
        </w:tc>
        <w:tc>
          <w:tcPr>
            <w:tcW w:w="70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34</w:t>
            </w:r>
          </w:p>
        </w:tc>
        <w:tc>
          <w:tcPr>
            <w:tcW w:w="56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47</w:t>
            </w:r>
          </w:p>
        </w:tc>
        <w:tc>
          <w:tcPr>
            <w:tcW w:w="66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47</w:t>
            </w:r>
          </w:p>
        </w:tc>
        <w:tc>
          <w:tcPr>
            <w:tcW w:w="47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r>
    </w:tbl>
    <w:p>
      <w:pPr>
        <w:spacing w:after="0"/>
        <w:jc w:val="center"/>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Нераспределенные земли запаса с/х назначения</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850"/>
        <w:gridCol w:w="1274"/>
        <w:gridCol w:w="854"/>
        <w:gridCol w:w="851"/>
        <w:gridCol w:w="1417"/>
        <w:gridCol w:w="1843"/>
        <w:gridCol w:w="850"/>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708"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850"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с/х назначения</w:t>
            </w:r>
          </w:p>
        </w:tc>
        <w:tc>
          <w:tcPr>
            <w:tcW w:w="2128" w:type="dxa"/>
            <w:gridSpan w:val="2"/>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Из них</w:t>
            </w:r>
          </w:p>
        </w:tc>
        <w:tc>
          <w:tcPr>
            <w:tcW w:w="2268" w:type="dxa"/>
            <w:gridSpan w:val="2"/>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Лесные</w:t>
            </w:r>
          </w:p>
        </w:tc>
        <w:tc>
          <w:tcPr>
            <w:tcW w:w="1843"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древесно-кустарниковой растительностью не лесного фонда</w:t>
            </w:r>
          </w:p>
        </w:tc>
        <w:tc>
          <w:tcPr>
            <w:tcW w:w="850"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водой</w:t>
            </w:r>
          </w:p>
        </w:tc>
        <w:tc>
          <w:tcPr>
            <w:tcW w:w="85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Дороги </w:t>
            </w:r>
          </w:p>
        </w:tc>
        <w:tc>
          <w:tcPr>
            <w:tcW w:w="850"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Болота</w:t>
            </w:r>
          </w:p>
        </w:tc>
        <w:tc>
          <w:tcPr>
            <w:tcW w:w="85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прочие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708" w:type="dxa"/>
            <w:vMerge w:val="continue"/>
          </w:tcPr>
          <w:p>
            <w:pPr>
              <w:spacing w:after="0"/>
              <w:jc w:val="center"/>
              <w:rPr>
                <w:rFonts w:ascii="Times New Roman" w:hAnsi="Times New Roman" w:eastAsia="Times New Roman" w:cs="Times New Roman"/>
                <w:sz w:val="18"/>
                <w:szCs w:val="18"/>
                <w:lang w:eastAsia="ru-RU"/>
              </w:rPr>
            </w:pPr>
          </w:p>
        </w:tc>
        <w:tc>
          <w:tcPr>
            <w:tcW w:w="850" w:type="dxa"/>
            <w:vMerge w:val="continue"/>
          </w:tcPr>
          <w:p>
            <w:pPr>
              <w:spacing w:after="0"/>
              <w:jc w:val="center"/>
              <w:rPr>
                <w:rFonts w:ascii="Times New Roman" w:hAnsi="Times New Roman" w:eastAsia="Times New Roman" w:cs="Times New Roman"/>
                <w:sz w:val="18"/>
                <w:szCs w:val="18"/>
                <w:lang w:eastAsia="ru-RU"/>
              </w:rPr>
            </w:pPr>
          </w:p>
        </w:tc>
        <w:tc>
          <w:tcPr>
            <w:tcW w:w="1274"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сенокосы</w:t>
            </w:r>
          </w:p>
        </w:tc>
        <w:tc>
          <w:tcPr>
            <w:tcW w:w="85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пастбища</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141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Покрытые лесом</w:t>
            </w:r>
          </w:p>
        </w:tc>
        <w:tc>
          <w:tcPr>
            <w:tcW w:w="1843" w:type="dxa"/>
            <w:vMerge w:val="continue"/>
          </w:tcPr>
          <w:p>
            <w:pPr>
              <w:spacing w:after="0"/>
              <w:jc w:val="center"/>
              <w:rPr>
                <w:rFonts w:ascii="Times New Roman" w:hAnsi="Times New Roman" w:eastAsia="Times New Roman" w:cs="Times New Roman"/>
                <w:sz w:val="18"/>
                <w:szCs w:val="18"/>
                <w:lang w:eastAsia="ru-RU"/>
              </w:rPr>
            </w:pPr>
          </w:p>
        </w:tc>
        <w:tc>
          <w:tcPr>
            <w:tcW w:w="850" w:type="dxa"/>
            <w:vMerge w:val="continue"/>
          </w:tcPr>
          <w:p>
            <w:pPr>
              <w:spacing w:after="0"/>
              <w:jc w:val="center"/>
              <w:rPr>
                <w:rFonts w:ascii="Times New Roman" w:hAnsi="Times New Roman" w:eastAsia="Times New Roman" w:cs="Times New Roman"/>
                <w:sz w:val="18"/>
                <w:szCs w:val="18"/>
                <w:lang w:eastAsia="ru-RU"/>
              </w:rPr>
            </w:pPr>
          </w:p>
        </w:tc>
        <w:tc>
          <w:tcPr>
            <w:tcW w:w="851" w:type="dxa"/>
            <w:vMerge w:val="continue"/>
          </w:tcPr>
          <w:p>
            <w:pPr>
              <w:spacing w:after="0"/>
              <w:jc w:val="center"/>
              <w:rPr>
                <w:rFonts w:ascii="Times New Roman" w:hAnsi="Times New Roman" w:eastAsia="Times New Roman" w:cs="Times New Roman"/>
                <w:sz w:val="18"/>
                <w:szCs w:val="18"/>
                <w:lang w:eastAsia="ru-RU"/>
              </w:rPr>
            </w:pPr>
          </w:p>
        </w:tc>
        <w:tc>
          <w:tcPr>
            <w:tcW w:w="850" w:type="dxa"/>
            <w:vMerge w:val="continue"/>
          </w:tcPr>
          <w:p>
            <w:pPr>
              <w:spacing w:after="0"/>
              <w:jc w:val="center"/>
              <w:rPr>
                <w:rFonts w:ascii="Times New Roman" w:hAnsi="Times New Roman" w:eastAsia="Times New Roman" w:cs="Times New Roman"/>
                <w:sz w:val="18"/>
                <w:szCs w:val="18"/>
                <w:lang w:eastAsia="ru-RU"/>
              </w:rPr>
            </w:pPr>
          </w:p>
        </w:tc>
        <w:tc>
          <w:tcPr>
            <w:tcW w:w="851" w:type="dxa"/>
            <w:vMerge w:val="continue"/>
          </w:tcPr>
          <w:p>
            <w:pPr>
              <w:spacing w:after="0"/>
              <w:jc w:val="center"/>
              <w:rPr>
                <w:rFonts w:ascii="Times New Roman" w:hAnsi="Times New Roman" w:eastAsia="Times New Roman" w:cs="Times New Roman"/>
                <w:sz w:val="18"/>
                <w:szCs w:val="18"/>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990</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802</w:t>
            </w:r>
          </w:p>
        </w:tc>
        <w:tc>
          <w:tcPr>
            <w:tcW w:w="127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481</w:t>
            </w:r>
          </w:p>
        </w:tc>
        <w:tc>
          <w:tcPr>
            <w:tcW w:w="85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321</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74</w:t>
            </w:r>
          </w:p>
        </w:tc>
        <w:tc>
          <w:tcPr>
            <w:tcW w:w="141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74</w:t>
            </w:r>
          </w:p>
        </w:tc>
        <w:tc>
          <w:tcPr>
            <w:tcW w:w="184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42</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9</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33</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18</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12</w:t>
            </w:r>
          </w:p>
        </w:tc>
      </w:tr>
    </w:tbl>
    <w:p>
      <w:pPr>
        <w:spacing w:after="0"/>
        <w:rPr>
          <w:rFonts w:ascii="Calibri" w:hAnsi="Calibri" w:eastAsia="Times New Roman" w:cs="Times New Roman"/>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Земли с/х назначения</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50"/>
        <w:gridCol w:w="1278"/>
        <w:gridCol w:w="708"/>
        <w:gridCol w:w="851"/>
        <w:gridCol w:w="992"/>
        <w:gridCol w:w="992"/>
        <w:gridCol w:w="851"/>
        <w:gridCol w:w="709"/>
        <w:gridCol w:w="1134"/>
        <w:gridCol w:w="99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trPr>
        <w:tc>
          <w:tcPr>
            <w:tcW w:w="707"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Общая площадь</w:t>
            </w:r>
          </w:p>
        </w:tc>
        <w:tc>
          <w:tcPr>
            <w:tcW w:w="850"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собств.</w:t>
            </w:r>
          </w:p>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граждан</w:t>
            </w:r>
          </w:p>
        </w:tc>
        <w:tc>
          <w:tcPr>
            <w:tcW w:w="1278"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государственной и муниципальной собственности</w:t>
            </w:r>
          </w:p>
          <w:p>
            <w:pPr>
              <w:jc w:val="center"/>
              <w:rPr>
                <w:rFonts w:ascii="Times New Roman" w:hAnsi="Times New Roman" w:eastAsia="Times New Roman" w:cs="Times New Roman"/>
                <w:sz w:val="18"/>
                <w:szCs w:val="18"/>
                <w:lang w:eastAsia="ru-RU"/>
              </w:rPr>
            </w:pPr>
          </w:p>
        </w:tc>
        <w:tc>
          <w:tcPr>
            <w:tcW w:w="4394" w:type="dxa"/>
            <w:gridSpan w:val="5"/>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с/х угодья</w:t>
            </w:r>
          </w:p>
        </w:tc>
        <w:tc>
          <w:tcPr>
            <w:tcW w:w="3970" w:type="dxa"/>
            <w:gridSpan w:val="4"/>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Лесные земли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trPr>
        <w:tc>
          <w:tcPr>
            <w:tcW w:w="707" w:type="dxa"/>
            <w:vMerge w:val="continue"/>
          </w:tcPr>
          <w:p>
            <w:pPr>
              <w:spacing w:after="0"/>
              <w:jc w:val="center"/>
              <w:rPr>
                <w:rFonts w:ascii="Times New Roman" w:hAnsi="Times New Roman" w:eastAsia="Times New Roman" w:cs="Times New Roman"/>
                <w:sz w:val="18"/>
                <w:szCs w:val="18"/>
                <w:lang w:eastAsia="ru-RU"/>
              </w:rPr>
            </w:pPr>
          </w:p>
        </w:tc>
        <w:tc>
          <w:tcPr>
            <w:tcW w:w="850" w:type="dxa"/>
            <w:vMerge w:val="continue"/>
          </w:tcPr>
          <w:p>
            <w:pPr>
              <w:spacing w:after="0"/>
              <w:jc w:val="center"/>
              <w:rPr>
                <w:rFonts w:ascii="Times New Roman" w:hAnsi="Times New Roman" w:eastAsia="Times New Roman" w:cs="Times New Roman"/>
                <w:sz w:val="18"/>
                <w:szCs w:val="18"/>
                <w:lang w:eastAsia="ru-RU"/>
              </w:rPr>
            </w:pPr>
          </w:p>
        </w:tc>
        <w:tc>
          <w:tcPr>
            <w:tcW w:w="1278" w:type="dxa"/>
            <w:vMerge w:val="continue"/>
          </w:tcPr>
          <w:p>
            <w:pPr>
              <w:jc w:val="center"/>
              <w:rPr>
                <w:rFonts w:ascii="Times New Roman" w:hAnsi="Times New Roman" w:eastAsia="Times New Roman" w:cs="Times New Roman"/>
                <w:sz w:val="18"/>
                <w:szCs w:val="18"/>
                <w:lang w:eastAsia="ru-RU"/>
              </w:rPr>
            </w:pPr>
          </w:p>
        </w:tc>
        <w:tc>
          <w:tcPr>
            <w:tcW w:w="70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Пашня</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Сенокосы</w:t>
            </w:r>
          </w:p>
        </w:tc>
        <w:tc>
          <w:tcPr>
            <w:tcW w:w="992"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Пастбища</w:t>
            </w:r>
          </w:p>
        </w:tc>
        <w:tc>
          <w:tcPr>
            <w:tcW w:w="851"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Залежь</w:t>
            </w:r>
          </w:p>
        </w:tc>
        <w:tc>
          <w:tcPr>
            <w:tcW w:w="709"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1134"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Покрытые лесом</w:t>
            </w:r>
          </w:p>
        </w:tc>
        <w:tc>
          <w:tcPr>
            <w:tcW w:w="993"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Не покрытые лесом</w:t>
            </w:r>
          </w:p>
        </w:tc>
        <w:tc>
          <w:tcPr>
            <w:tcW w:w="1134"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Древесно-кустарниковой растительностью не лесного фонда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15296</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9611</w:t>
            </w:r>
          </w:p>
        </w:tc>
        <w:tc>
          <w:tcPr>
            <w:tcW w:w="127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5685</w:t>
            </w:r>
          </w:p>
        </w:tc>
        <w:tc>
          <w:tcPr>
            <w:tcW w:w="70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9408</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7643</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1141</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592</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32</w:t>
            </w:r>
          </w:p>
        </w:tc>
        <w:tc>
          <w:tcPr>
            <w:tcW w:w="70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5267</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5209</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58</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12</w:t>
            </w:r>
          </w:p>
        </w:tc>
      </w:tr>
    </w:tbl>
    <w:p>
      <w:pPr>
        <w:spacing w:after="0"/>
        <w:ind w:firstLine="426"/>
        <w:jc w:val="both"/>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Прочие земли из с/х назначения</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1559"/>
        <w:gridCol w:w="1701"/>
        <w:gridCol w:w="1843"/>
        <w:gridCol w:w="212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trPr>
        <w:tc>
          <w:tcPr>
            <w:tcW w:w="1702"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водой</w:t>
            </w:r>
          </w:p>
        </w:tc>
        <w:tc>
          <w:tcPr>
            <w:tcW w:w="1559"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Земли под застройками</w:t>
            </w:r>
          </w:p>
        </w:tc>
        <w:tc>
          <w:tcPr>
            <w:tcW w:w="170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Дороги (в т.ч. грунтовые)</w:t>
            </w:r>
          </w:p>
          <w:p>
            <w:pPr>
              <w:jc w:val="center"/>
              <w:rPr>
                <w:rFonts w:ascii="Times New Roman" w:hAnsi="Times New Roman" w:eastAsia="Times New Roman" w:cs="Times New Roman"/>
                <w:sz w:val="18"/>
                <w:szCs w:val="18"/>
                <w:lang w:eastAsia="ru-RU"/>
              </w:rPr>
            </w:pPr>
          </w:p>
        </w:tc>
        <w:tc>
          <w:tcPr>
            <w:tcW w:w="1843" w:type="dxa"/>
            <w:tcBorders>
              <w:bottom w:val="nil"/>
            </w:tcBorders>
          </w:tcPr>
          <w:p>
            <w:pPr>
              <w:spacing w:after="0"/>
              <w:rPr>
                <w:rFonts w:ascii="Times New Roman" w:hAnsi="Times New Roman" w:eastAsia="Times New Roman" w:cs="Times New Roman"/>
                <w:sz w:val="18"/>
                <w:szCs w:val="18"/>
                <w:lang w:eastAsia="ru-RU"/>
              </w:rPr>
            </w:pPr>
          </w:p>
        </w:tc>
        <w:tc>
          <w:tcPr>
            <w:tcW w:w="4394" w:type="dxa"/>
            <w:gridSpan w:val="2"/>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Прочие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1702" w:type="dxa"/>
            <w:vMerge w:val="continue"/>
          </w:tcPr>
          <w:p>
            <w:pPr>
              <w:spacing w:after="0"/>
              <w:jc w:val="center"/>
              <w:rPr>
                <w:rFonts w:ascii="Times New Roman" w:hAnsi="Times New Roman" w:eastAsia="Times New Roman" w:cs="Times New Roman"/>
                <w:sz w:val="18"/>
                <w:szCs w:val="18"/>
                <w:lang w:eastAsia="ru-RU"/>
              </w:rPr>
            </w:pPr>
          </w:p>
        </w:tc>
        <w:tc>
          <w:tcPr>
            <w:tcW w:w="1559" w:type="dxa"/>
            <w:vMerge w:val="continue"/>
          </w:tcPr>
          <w:p>
            <w:pPr>
              <w:spacing w:after="0"/>
              <w:jc w:val="center"/>
              <w:rPr>
                <w:rFonts w:ascii="Times New Roman" w:hAnsi="Times New Roman" w:eastAsia="Times New Roman" w:cs="Times New Roman"/>
                <w:sz w:val="18"/>
                <w:szCs w:val="18"/>
                <w:lang w:eastAsia="ru-RU"/>
              </w:rPr>
            </w:pPr>
          </w:p>
        </w:tc>
        <w:tc>
          <w:tcPr>
            <w:tcW w:w="1701" w:type="dxa"/>
            <w:vMerge w:val="continue"/>
          </w:tcPr>
          <w:p>
            <w:pPr>
              <w:jc w:val="center"/>
              <w:rPr>
                <w:rFonts w:ascii="Times New Roman" w:hAnsi="Times New Roman" w:eastAsia="Times New Roman" w:cs="Times New Roman"/>
                <w:sz w:val="18"/>
                <w:szCs w:val="18"/>
                <w:lang w:eastAsia="ru-RU"/>
              </w:rPr>
            </w:pPr>
          </w:p>
        </w:tc>
        <w:tc>
          <w:tcPr>
            <w:tcW w:w="1843" w:type="dxa"/>
            <w:tcBorders>
              <w:top w:val="nil"/>
            </w:tcBorders>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Болота</w:t>
            </w:r>
          </w:p>
        </w:tc>
        <w:tc>
          <w:tcPr>
            <w:tcW w:w="2126"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2268"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т.ч. пески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57</w:t>
            </w:r>
          </w:p>
        </w:tc>
        <w:tc>
          <w:tcPr>
            <w:tcW w:w="155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148</w:t>
            </w:r>
          </w:p>
        </w:tc>
        <w:tc>
          <w:tcPr>
            <w:tcW w:w="170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152</w:t>
            </w:r>
          </w:p>
        </w:tc>
        <w:tc>
          <w:tcPr>
            <w:tcW w:w="184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87</w:t>
            </w:r>
          </w:p>
        </w:tc>
        <w:tc>
          <w:tcPr>
            <w:tcW w:w="2126"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59</w:t>
            </w:r>
          </w:p>
        </w:tc>
        <w:tc>
          <w:tcPr>
            <w:tcW w:w="2268"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59</w:t>
            </w:r>
          </w:p>
        </w:tc>
      </w:tr>
    </w:tbl>
    <w:p>
      <w:pPr>
        <w:spacing w:after="0"/>
        <w:ind w:firstLine="426"/>
        <w:jc w:val="both"/>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Фонд перераспределения земель с/х назначения</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844"/>
        <w:gridCol w:w="850"/>
        <w:gridCol w:w="1134"/>
        <w:gridCol w:w="992"/>
        <w:gridCol w:w="993"/>
        <w:gridCol w:w="992"/>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992"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Общая площадь</w:t>
            </w:r>
          </w:p>
        </w:tc>
        <w:tc>
          <w:tcPr>
            <w:tcW w:w="1844"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государственной и муниципальной собственности</w:t>
            </w:r>
          </w:p>
          <w:p>
            <w:pPr>
              <w:spacing w:after="0"/>
              <w:jc w:val="center"/>
              <w:rPr>
                <w:rFonts w:ascii="Times New Roman" w:hAnsi="Times New Roman" w:eastAsia="Times New Roman" w:cs="Times New Roman"/>
                <w:sz w:val="18"/>
                <w:szCs w:val="18"/>
                <w:lang w:eastAsia="ru-RU"/>
              </w:rPr>
            </w:pPr>
          </w:p>
        </w:tc>
        <w:tc>
          <w:tcPr>
            <w:tcW w:w="4961" w:type="dxa"/>
            <w:gridSpan w:val="5"/>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 xml:space="preserve">с/х угодий </w:t>
            </w:r>
          </w:p>
        </w:tc>
        <w:tc>
          <w:tcPr>
            <w:tcW w:w="2268" w:type="dxa"/>
            <w:gridSpan w:val="2"/>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Лесные земли</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Болота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992" w:type="dxa"/>
            <w:vMerge w:val="continue"/>
          </w:tcPr>
          <w:p>
            <w:pPr>
              <w:spacing w:after="0"/>
              <w:jc w:val="center"/>
              <w:rPr>
                <w:rFonts w:ascii="Times New Roman" w:hAnsi="Times New Roman" w:eastAsia="Times New Roman" w:cs="Times New Roman"/>
                <w:sz w:val="18"/>
                <w:szCs w:val="18"/>
                <w:lang w:eastAsia="ru-RU"/>
              </w:rPr>
            </w:pPr>
          </w:p>
        </w:tc>
        <w:tc>
          <w:tcPr>
            <w:tcW w:w="1844" w:type="dxa"/>
            <w:vMerge w:val="continue"/>
          </w:tcPr>
          <w:p>
            <w:pPr>
              <w:spacing w:after="0"/>
              <w:jc w:val="center"/>
              <w:rPr>
                <w:rFonts w:ascii="Times New Roman" w:hAnsi="Times New Roman" w:eastAsia="Times New Roman" w:cs="Times New Roman"/>
                <w:sz w:val="18"/>
                <w:szCs w:val="18"/>
                <w:lang w:eastAsia="ru-RU"/>
              </w:rPr>
            </w:pPr>
          </w:p>
        </w:tc>
        <w:tc>
          <w:tcPr>
            <w:tcW w:w="850"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Пашня</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Сенокосы</w:t>
            </w:r>
          </w:p>
        </w:tc>
        <w:tc>
          <w:tcPr>
            <w:tcW w:w="993"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Пастбища</w:t>
            </w:r>
          </w:p>
        </w:tc>
        <w:tc>
          <w:tcPr>
            <w:tcW w:w="992"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Залежь</w:t>
            </w:r>
          </w:p>
        </w:tc>
        <w:tc>
          <w:tcPr>
            <w:tcW w:w="1134"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1134" w:type="dxa"/>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Покрытые лесом</w:t>
            </w:r>
          </w:p>
        </w:tc>
        <w:tc>
          <w:tcPr>
            <w:tcW w:w="1134" w:type="dxa"/>
          </w:tcPr>
          <w:p>
            <w:pPr>
              <w:jc w:val="center"/>
              <w:rPr>
                <w:rFonts w:ascii="Times New Roman" w:hAnsi="Times New Roman" w:eastAsia="Times New Roman" w:cs="Times New Roman"/>
                <w:sz w:val="18"/>
                <w:szCs w:val="18"/>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1127</w:t>
            </w:r>
          </w:p>
        </w:tc>
        <w:tc>
          <w:tcPr>
            <w:tcW w:w="184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1127</w:t>
            </w:r>
          </w:p>
        </w:tc>
        <w:tc>
          <w:tcPr>
            <w:tcW w:w="850"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646</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433</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167</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36</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10</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472</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472</w:t>
            </w:r>
          </w:p>
        </w:tc>
        <w:tc>
          <w:tcPr>
            <w:tcW w:w="1134"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9</w:t>
            </w:r>
          </w:p>
        </w:tc>
      </w:tr>
    </w:tbl>
    <w:p>
      <w:pPr>
        <w:spacing w:after="0"/>
        <w:ind w:firstLine="426"/>
        <w:jc w:val="both"/>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Земли арендаторов</w:t>
      </w:r>
    </w:p>
    <w:tbl>
      <w:tblPr>
        <w:tblStyle w:val="22"/>
        <w:tblW w:w="11199"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3"/>
        <w:gridCol w:w="1417"/>
        <w:gridCol w:w="992"/>
        <w:gridCol w:w="993"/>
        <w:gridCol w:w="992"/>
        <w:gridCol w:w="992"/>
        <w:gridCol w:w="992"/>
        <w:gridCol w:w="993"/>
        <w:gridCol w:w="127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709"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Всего</w:t>
            </w:r>
          </w:p>
        </w:tc>
        <w:tc>
          <w:tcPr>
            <w:tcW w:w="993"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собственности</w:t>
            </w:r>
          </w:p>
          <w:p>
            <w:pPr>
              <w:spacing w:after="0"/>
              <w:jc w:val="center"/>
              <w:rPr>
                <w:rFonts w:ascii="Times New Roman" w:hAnsi="Times New Roman" w:eastAsia="Times New Roman" w:cs="Times New Roman"/>
                <w:sz w:val="18"/>
                <w:szCs w:val="18"/>
                <w:lang w:eastAsia="ru-RU"/>
              </w:rPr>
            </w:pPr>
          </w:p>
        </w:tc>
        <w:tc>
          <w:tcPr>
            <w:tcW w:w="1417" w:type="dxa"/>
            <w:tcBorders>
              <w:bottom w:val="nil"/>
            </w:tcBorders>
          </w:tcPr>
          <w:p>
            <w:pPr>
              <w:rPr>
                <w:rFonts w:ascii="Times New Roman" w:hAnsi="Times New Roman" w:eastAsia="Times New Roman" w:cs="Times New Roman"/>
                <w:sz w:val="18"/>
                <w:szCs w:val="18"/>
                <w:lang w:eastAsia="ru-RU"/>
              </w:rPr>
            </w:pPr>
          </w:p>
        </w:tc>
        <w:tc>
          <w:tcPr>
            <w:tcW w:w="992" w:type="dxa"/>
            <w:tcBorders>
              <w:bottom w:val="nil"/>
            </w:tcBorders>
          </w:tcPr>
          <w:p>
            <w:pPr>
              <w:jc w:val="center"/>
              <w:rPr>
                <w:rFonts w:ascii="Times New Roman" w:hAnsi="Times New Roman" w:eastAsia="Times New Roman" w:cs="Times New Roman"/>
                <w:sz w:val="18"/>
                <w:szCs w:val="18"/>
                <w:lang w:eastAsia="ru-RU"/>
              </w:rPr>
            </w:pPr>
          </w:p>
        </w:tc>
        <w:tc>
          <w:tcPr>
            <w:tcW w:w="993" w:type="dxa"/>
            <w:tcBorders>
              <w:bottom w:val="nil"/>
            </w:tcBorders>
          </w:tcPr>
          <w:p>
            <w:pPr>
              <w:jc w:val="center"/>
              <w:rPr>
                <w:rFonts w:ascii="Times New Roman" w:hAnsi="Times New Roman" w:eastAsia="Times New Roman" w:cs="Times New Roman"/>
                <w:sz w:val="18"/>
                <w:szCs w:val="18"/>
                <w:lang w:eastAsia="ru-RU"/>
              </w:rPr>
            </w:pPr>
          </w:p>
        </w:tc>
        <w:tc>
          <w:tcPr>
            <w:tcW w:w="992" w:type="dxa"/>
            <w:tcBorders>
              <w:bottom w:val="nil"/>
            </w:tcBorders>
          </w:tcPr>
          <w:p>
            <w:pPr>
              <w:jc w:val="center"/>
              <w:rPr>
                <w:rFonts w:ascii="Times New Roman" w:hAnsi="Times New Roman" w:eastAsia="Times New Roman" w:cs="Times New Roman"/>
                <w:sz w:val="18"/>
                <w:szCs w:val="18"/>
                <w:lang w:eastAsia="ru-RU"/>
              </w:rPr>
            </w:pPr>
          </w:p>
        </w:tc>
        <w:tc>
          <w:tcPr>
            <w:tcW w:w="992" w:type="dxa"/>
            <w:tcBorders>
              <w:bottom w:val="nil"/>
            </w:tcBorders>
          </w:tcPr>
          <w:p>
            <w:pPr>
              <w:jc w:val="center"/>
              <w:rPr>
                <w:rFonts w:ascii="Times New Roman" w:hAnsi="Times New Roman" w:eastAsia="Times New Roman" w:cs="Times New Roman"/>
                <w:sz w:val="18"/>
                <w:szCs w:val="18"/>
                <w:lang w:eastAsia="ru-RU"/>
              </w:rPr>
            </w:pPr>
          </w:p>
        </w:tc>
        <w:tc>
          <w:tcPr>
            <w:tcW w:w="992" w:type="dxa"/>
            <w:vMerge w:val="restart"/>
          </w:tcPr>
          <w:p>
            <w:pPr>
              <w:rPr>
                <w:rFonts w:ascii="Times New Roman" w:hAnsi="Times New Roman" w:eastAsia="Times New Roman" w:cs="Times New Roman"/>
                <w:sz w:val="18"/>
                <w:szCs w:val="18"/>
                <w:lang w:eastAsia="ru-RU"/>
              </w:rPr>
            </w:pPr>
          </w:p>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Пастбища</w:t>
            </w:r>
          </w:p>
        </w:tc>
        <w:tc>
          <w:tcPr>
            <w:tcW w:w="993" w:type="dxa"/>
            <w:vMerge w:val="restart"/>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Лесные, покрытые лесом</w:t>
            </w:r>
          </w:p>
        </w:tc>
        <w:tc>
          <w:tcPr>
            <w:tcW w:w="1275"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Под древесно-кустарниковой растительностью не лесного фонда</w:t>
            </w:r>
          </w:p>
        </w:tc>
        <w:tc>
          <w:tcPr>
            <w:tcW w:w="851" w:type="dxa"/>
            <w:vMerge w:val="restart"/>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Болота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709" w:type="dxa"/>
            <w:vMerge w:val="continue"/>
          </w:tcPr>
          <w:p>
            <w:pPr>
              <w:spacing w:after="0"/>
              <w:jc w:val="center"/>
              <w:rPr>
                <w:rFonts w:ascii="Times New Roman" w:hAnsi="Times New Roman" w:eastAsia="Times New Roman" w:cs="Times New Roman"/>
                <w:sz w:val="18"/>
                <w:szCs w:val="18"/>
                <w:lang w:eastAsia="ru-RU"/>
              </w:rPr>
            </w:pPr>
          </w:p>
        </w:tc>
        <w:tc>
          <w:tcPr>
            <w:tcW w:w="993" w:type="dxa"/>
            <w:vMerge w:val="continue"/>
          </w:tcPr>
          <w:p>
            <w:pPr>
              <w:spacing w:after="0"/>
              <w:jc w:val="center"/>
              <w:rPr>
                <w:rFonts w:ascii="Times New Roman" w:hAnsi="Times New Roman" w:eastAsia="Times New Roman" w:cs="Times New Roman"/>
                <w:sz w:val="18"/>
                <w:szCs w:val="18"/>
                <w:lang w:eastAsia="ru-RU"/>
              </w:rPr>
            </w:pPr>
          </w:p>
        </w:tc>
        <w:tc>
          <w:tcPr>
            <w:tcW w:w="1417" w:type="dxa"/>
            <w:tcBorders>
              <w:top w:val="nil"/>
            </w:tcBorders>
          </w:tcPr>
          <w:p>
            <w:pPr>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гос. собственности</w:t>
            </w:r>
          </w:p>
        </w:tc>
        <w:tc>
          <w:tcPr>
            <w:tcW w:w="992" w:type="dxa"/>
            <w:tcBorders>
              <w:top w:val="nil"/>
            </w:tcBorders>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В аренде</w:t>
            </w:r>
          </w:p>
        </w:tc>
        <w:tc>
          <w:tcPr>
            <w:tcW w:w="993" w:type="dxa"/>
            <w:tcBorders>
              <w:top w:val="nil"/>
            </w:tcBorders>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с/х угодия</w:t>
            </w:r>
          </w:p>
        </w:tc>
        <w:tc>
          <w:tcPr>
            <w:tcW w:w="992" w:type="dxa"/>
            <w:tcBorders>
              <w:top w:val="nil"/>
            </w:tcBorders>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Пашня</w:t>
            </w:r>
          </w:p>
        </w:tc>
        <w:tc>
          <w:tcPr>
            <w:tcW w:w="992" w:type="dxa"/>
            <w:tcBorders>
              <w:top w:val="nil"/>
            </w:tcBorders>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Сенокосы</w:t>
            </w:r>
          </w:p>
        </w:tc>
        <w:tc>
          <w:tcPr>
            <w:tcW w:w="992" w:type="dxa"/>
            <w:vMerge w:val="continue"/>
          </w:tcPr>
          <w:p>
            <w:pPr>
              <w:jc w:val="center"/>
              <w:rPr>
                <w:rFonts w:ascii="Times New Roman" w:hAnsi="Times New Roman" w:eastAsia="Times New Roman" w:cs="Times New Roman"/>
                <w:sz w:val="18"/>
                <w:szCs w:val="18"/>
                <w:lang w:eastAsia="ru-RU"/>
              </w:rPr>
            </w:pPr>
          </w:p>
        </w:tc>
        <w:tc>
          <w:tcPr>
            <w:tcW w:w="993" w:type="dxa"/>
            <w:vMerge w:val="continue"/>
          </w:tcPr>
          <w:p>
            <w:pPr>
              <w:jc w:val="center"/>
              <w:rPr>
                <w:rFonts w:ascii="Times New Roman" w:hAnsi="Times New Roman" w:eastAsia="Times New Roman" w:cs="Times New Roman"/>
                <w:sz w:val="18"/>
                <w:szCs w:val="18"/>
                <w:lang w:eastAsia="ru-RU"/>
              </w:rPr>
            </w:pPr>
          </w:p>
        </w:tc>
        <w:tc>
          <w:tcPr>
            <w:tcW w:w="1275" w:type="dxa"/>
            <w:vMerge w:val="continue"/>
          </w:tcPr>
          <w:p>
            <w:pPr>
              <w:jc w:val="center"/>
              <w:rPr>
                <w:rFonts w:ascii="Times New Roman" w:hAnsi="Times New Roman" w:eastAsia="Times New Roman" w:cs="Times New Roman"/>
                <w:sz w:val="18"/>
                <w:szCs w:val="18"/>
                <w:lang w:eastAsia="ru-RU"/>
              </w:rPr>
            </w:pPr>
          </w:p>
        </w:tc>
        <w:tc>
          <w:tcPr>
            <w:tcW w:w="851" w:type="dxa"/>
            <w:vMerge w:val="continue"/>
          </w:tcPr>
          <w:p>
            <w:pPr>
              <w:jc w:val="center"/>
              <w:rPr>
                <w:rFonts w:ascii="Times New Roman" w:hAnsi="Times New Roman" w:eastAsia="Times New Roman" w:cs="Times New Roman"/>
                <w:sz w:val="18"/>
                <w:szCs w:val="18"/>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84</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25</w:t>
            </w:r>
          </w:p>
        </w:tc>
        <w:tc>
          <w:tcPr>
            <w:tcW w:w="1417"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55</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62</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32</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14</w:t>
            </w:r>
          </w:p>
        </w:tc>
        <w:tc>
          <w:tcPr>
            <w:tcW w:w="992"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16</w:t>
            </w:r>
          </w:p>
        </w:tc>
        <w:tc>
          <w:tcPr>
            <w:tcW w:w="993"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8</w:t>
            </w:r>
          </w:p>
        </w:tc>
        <w:tc>
          <w:tcPr>
            <w:tcW w:w="1275"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10</w:t>
            </w:r>
          </w:p>
        </w:tc>
        <w:tc>
          <w:tcPr>
            <w:tcW w:w="851" w:type="dxa"/>
          </w:tcPr>
          <w:p>
            <w:pPr>
              <w:spacing w:after="0"/>
              <w:jc w:val="center"/>
              <w:rPr>
                <w:rFonts w:ascii="Times New Roman" w:hAnsi="Times New Roman" w:eastAsia="Times New Roman" w:cs="Times New Roman"/>
                <w:sz w:val="18"/>
                <w:szCs w:val="18"/>
                <w:lang w:eastAsia="ru-RU"/>
              </w:rPr>
            </w:pPr>
            <w:r>
              <w:rPr>
                <w:rFonts w:ascii="Times New Roman" w:hAnsi="Times New Roman" w:eastAsia="Times New Roman" w:cs="Times New Roman"/>
                <w:sz w:val="18"/>
                <w:szCs w:val="18"/>
                <w:lang w:eastAsia="ru-RU"/>
              </w:rPr>
              <w:t>4</w:t>
            </w:r>
          </w:p>
        </w:tc>
      </w:tr>
    </w:tbl>
    <w:p>
      <w:pPr>
        <w:spacing w:after="0"/>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Сельскохозяйственное производство является одним из значимых видов экономической деятельности в поселении. В этой сфере в 2010 году было занято 34 человека  со среднемесячной зарплатой 6-8 тысяч рублей. Численность работающих в сельскохозяйственном производстве сохранена и на 01.09.2011 года, рост заработной платы составляет 15%.</w:t>
      </w:r>
    </w:p>
    <w:p>
      <w:pPr>
        <w:spacing w:after="0"/>
        <w:ind w:firstLine="426"/>
        <w:jc w:val="both"/>
        <w:rPr>
          <w:rFonts w:ascii="Times New Roman" w:hAnsi="Times New Roman" w:eastAsia="Times New Roman" w:cs="Times New Roman"/>
          <w:sz w:val="24"/>
          <w:szCs w:val="24"/>
          <w:lang w:eastAsia="ru-RU"/>
        </w:rPr>
      </w:pPr>
    </w:p>
    <w:p>
      <w:pPr>
        <w:spacing w:after="0"/>
        <w:ind w:firstLine="426"/>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Перечень  предприятий</w:t>
      </w:r>
    </w:p>
    <w:p>
      <w:pPr>
        <w:spacing w:after="0"/>
        <w:ind w:firstLine="426"/>
        <w:jc w:val="center"/>
        <w:rPr>
          <w:rFonts w:ascii="Times New Roman" w:hAnsi="Times New Roman" w:eastAsia="Times New Roman" w:cs="Times New Roman"/>
          <w:sz w:val="24"/>
          <w:szCs w:val="24"/>
          <w:lang w:eastAsia="ru-RU"/>
        </w:rPr>
      </w:pPr>
    </w:p>
    <w:tbl>
      <w:tblPr>
        <w:tblStyle w:val="22"/>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3240"/>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500"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предприятий</w:t>
            </w:r>
          </w:p>
        </w:tc>
        <w:tc>
          <w:tcPr>
            <w:tcW w:w="3240"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продукции</w:t>
            </w:r>
          </w:p>
        </w:tc>
        <w:tc>
          <w:tcPr>
            <w:tcW w:w="1616"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Числен-ность работаю-щих, чел.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500" w:type="dxa"/>
          </w:tcPr>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СПК «Колшево»</w:t>
            </w:r>
          </w:p>
        </w:tc>
        <w:tc>
          <w:tcPr>
            <w:tcW w:w="3240"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Растениеводство, молочное животноводство</w:t>
            </w:r>
          </w:p>
        </w:tc>
        <w:tc>
          <w:tcPr>
            <w:tcW w:w="1616"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500" w:type="dxa"/>
          </w:tcPr>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СПК « Возрождение»</w:t>
            </w:r>
          </w:p>
        </w:tc>
        <w:tc>
          <w:tcPr>
            <w:tcW w:w="3240"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Растениеводство</w:t>
            </w:r>
          </w:p>
        </w:tc>
        <w:tc>
          <w:tcPr>
            <w:tcW w:w="1616"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4500" w:type="dxa"/>
          </w:tcPr>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3.КФХ Кузьмина А.Ф.</w:t>
            </w:r>
          </w:p>
        </w:tc>
        <w:tc>
          <w:tcPr>
            <w:tcW w:w="3240"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Птицеводство</w:t>
            </w:r>
          </w:p>
        </w:tc>
        <w:tc>
          <w:tcPr>
            <w:tcW w:w="1616" w:type="dxa"/>
          </w:tcPr>
          <w:p>
            <w:pPr>
              <w:spacing w:after="0"/>
              <w:ind w:firstLine="426"/>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bl>
    <w:p>
      <w:pPr>
        <w:spacing w:after="0"/>
        <w:ind w:firstLine="426"/>
        <w:jc w:val="both"/>
        <w:rPr>
          <w:rFonts w:ascii="Times New Roman" w:hAnsi="Times New Roman" w:eastAsia="Times New Roman" w:cs="Times New Roman"/>
          <w:sz w:val="24"/>
          <w:szCs w:val="24"/>
          <w:lang w:eastAsia="ru-RU"/>
        </w:rPr>
      </w:pPr>
    </w:p>
    <w:p>
      <w:pPr>
        <w:spacing w:after="0"/>
        <w:ind w:left="283" w:firstLine="426"/>
        <w:rPr>
          <w:rFonts w:ascii="Times New Roman" w:hAnsi="Times New Roman" w:eastAsia="Times New Roman" w:cs="Times New Roman"/>
          <w:sz w:val="24"/>
          <w:szCs w:val="24"/>
          <w:lang w:eastAsia="ru-RU"/>
        </w:rPr>
      </w:pP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2010 году в этих хозяйствах произведено продукции на сумму 7,137 млн. руб. За 6 месяцев 2011 года выручка от реализации продукции составила в СПК «Колшево» 2,585 млн. руб., в СПК « Возрождение»- 0,9 млн. руб. В расчете на 1 жителя поселения произведено продукции на сумму 8 тысяч рублей в год.</w:t>
      </w: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Лидером в агропромышленном комплексе по Заволжскому муниципальному району является СПК «Колшево», занимается растениеводством и молочным животноводством.</w:t>
      </w:r>
    </w:p>
    <w:tbl>
      <w:tblPr>
        <w:tblStyle w:val="22"/>
        <w:tblW w:w="9097" w:type="dxa"/>
        <w:tblInd w:w="55" w:type="dxa"/>
        <w:tblLayout w:type="fixed"/>
        <w:tblCellMar>
          <w:top w:w="55" w:type="dxa"/>
          <w:left w:w="55" w:type="dxa"/>
          <w:bottom w:w="55" w:type="dxa"/>
          <w:right w:w="55" w:type="dxa"/>
        </w:tblCellMar>
      </w:tblPr>
      <w:tblGrid>
        <w:gridCol w:w="2760"/>
        <w:gridCol w:w="1620"/>
        <w:gridCol w:w="2310"/>
        <w:gridCol w:w="2407"/>
      </w:tblGrid>
      <w:tr>
        <w:tblPrEx>
          <w:tblLayout w:type="fixed"/>
          <w:tblCellMar>
            <w:top w:w="55" w:type="dxa"/>
            <w:left w:w="55" w:type="dxa"/>
            <w:bottom w:w="55" w:type="dxa"/>
            <w:right w:w="55" w:type="dxa"/>
          </w:tblCellMar>
        </w:tblPrEx>
        <w:trPr>
          <w:cantSplit/>
          <w:trHeight w:val="276" w:hRule="atLeast"/>
        </w:trPr>
        <w:tc>
          <w:tcPr>
            <w:tcW w:w="276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Наименование и расположение с/х предприятия</w:t>
            </w:r>
          </w:p>
        </w:tc>
        <w:tc>
          <w:tcPr>
            <w:tcW w:w="162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jc w:val="center"/>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 xml:space="preserve">Площадь сельхозугодий </w:t>
            </w:r>
          </w:p>
          <w:p>
            <w:pPr>
              <w:widowControl w:val="0"/>
              <w:suppressLineNumbers/>
              <w:suppressAutoHyphens/>
              <w:snapToGrid w:val="0"/>
              <w:spacing w:after="0" w:line="240" w:lineRule="auto"/>
              <w:jc w:val="center"/>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тыс. га</w:t>
            </w:r>
          </w:p>
        </w:tc>
        <w:tc>
          <w:tcPr>
            <w:tcW w:w="231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jc w:val="center"/>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Собственность</w:t>
            </w:r>
          </w:p>
        </w:tc>
        <w:tc>
          <w:tcPr>
            <w:tcW w:w="2407" w:type="dxa"/>
            <w:tcBorders>
              <w:top w:val="single" w:color="000000" w:sz="0" w:space="0"/>
              <w:left w:val="single" w:color="000000" w:sz="0" w:space="0"/>
              <w:bottom w:val="single" w:color="000000" w:sz="0" w:space="0"/>
              <w:right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деятельность</w:t>
            </w:r>
          </w:p>
        </w:tc>
      </w:tr>
      <w:tr>
        <w:tblPrEx>
          <w:tblLayout w:type="fixed"/>
          <w:tblCellMar>
            <w:top w:w="55" w:type="dxa"/>
            <w:left w:w="55" w:type="dxa"/>
            <w:bottom w:w="55" w:type="dxa"/>
            <w:right w:w="55" w:type="dxa"/>
          </w:tblCellMar>
        </w:tblPrEx>
        <w:trPr>
          <w:cantSplit/>
          <w:trHeight w:val="276" w:hRule="atLeast"/>
        </w:trPr>
        <w:tc>
          <w:tcPr>
            <w:tcW w:w="2760" w:type="dxa"/>
            <w:tcBorders>
              <w:left w:val="single" w:color="000000" w:sz="0" w:space="0"/>
              <w:bottom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 xml:space="preserve">СПК «Колшево», </w:t>
            </w:r>
          </w:p>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с. Колшево, 40 км от районного центра</w:t>
            </w:r>
          </w:p>
        </w:tc>
        <w:tc>
          <w:tcPr>
            <w:tcW w:w="1620" w:type="dxa"/>
            <w:tcBorders>
              <w:left w:val="single" w:color="000000" w:sz="0" w:space="0"/>
              <w:bottom w:val="single" w:color="000000" w:sz="0" w:space="0"/>
            </w:tcBorders>
          </w:tcPr>
          <w:p>
            <w:pPr>
              <w:widowControl w:val="0"/>
              <w:suppressLineNumbers/>
              <w:suppressAutoHyphens/>
              <w:snapToGrid w:val="0"/>
              <w:spacing w:after="0" w:line="240" w:lineRule="auto"/>
              <w:jc w:val="center"/>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4,9</w:t>
            </w:r>
          </w:p>
        </w:tc>
        <w:tc>
          <w:tcPr>
            <w:tcW w:w="2310" w:type="dxa"/>
            <w:tcBorders>
              <w:left w:val="single" w:color="000000" w:sz="0" w:space="0"/>
              <w:bottom w:val="single" w:color="000000" w:sz="0" w:space="0"/>
            </w:tcBorders>
          </w:tcPr>
          <w:p>
            <w:pPr>
              <w:widowControl w:val="0"/>
              <w:suppressLineNumbers/>
              <w:suppressAutoHyphens/>
              <w:snapToGrid w:val="0"/>
              <w:spacing w:after="0" w:line="240" w:lineRule="auto"/>
              <w:jc w:val="center"/>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Коллективно-долевая</w:t>
            </w:r>
          </w:p>
        </w:tc>
        <w:tc>
          <w:tcPr>
            <w:tcW w:w="2407" w:type="dxa"/>
            <w:tcBorders>
              <w:left w:val="single" w:color="000000" w:sz="0" w:space="0"/>
              <w:bottom w:val="single" w:color="000000" w:sz="0" w:space="0"/>
              <w:right w:val="single" w:color="000000" w:sz="0" w:space="0"/>
            </w:tcBorders>
          </w:tcPr>
          <w:p>
            <w:pPr>
              <w:widowControl w:val="0"/>
              <w:suppressLineNumbers/>
              <w:suppressAutoHyphens/>
              <w:snapToGrid w:val="0"/>
              <w:spacing w:after="0" w:line="240" w:lineRule="auto"/>
              <w:rPr>
                <w:rFonts w:ascii="Times New Roman" w:hAnsi="Times New Roman" w:eastAsia="Arial Unicode MS" w:cs="Times New Roman"/>
                <w:kern w:val="1"/>
                <w:lang w:eastAsia="ru-RU"/>
              </w:rPr>
            </w:pPr>
            <w:r>
              <w:rPr>
                <w:rFonts w:ascii="Times New Roman" w:hAnsi="Times New Roman" w:eastAsia="Arial Unicode MS" w:cs="Times New Roman"/>
                <w:kern w:val="1"/>
                <w:lang w:eastAsia="ru-RU"/>
              </w:rPr>
              <w:t>Животноводство, растениеводство</w:t>
            </w:r>
          </w:p>
        </w:tc>
      </w:tr>
    </w:tbl>
    <w:p>
      <w:pPr>
        <w:spacing w:after="0"/>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протяжении последних лет, несмотря на диспаритет цен между продукцией сельскохозяйственного производства и промышленности ,хозяйство сохранило поголовье крупного рогатого скота , что составляет 240 голов , в т.ч. 117 голов дойного стада.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Надой на одну фуражную корову в 2011 году составил 3400 кг.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Обрабатывают 1500 га, в т.ч. 630 га пашни. Урожайности зерновых культур в 2011 году составила 12ц/га.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Численность рабочих в СПК – 30 человек, средняя заработная плата 8 тысяч рублей.</w:t>
      </w:r>
    </w:p>
    <w:p>
      <w:pPr>
        <w:spacing w:after="0"/>
        <w:ind w:firstLine="426"/>
        <w:rPr>
          <w:rFonts w:ascii="Times New Roman" w:hAnsi="Times New Roman" w:eastAsia="Times New Roman" w:cs="Times New Roman"/>
          <w:sz w:val="24"/>
          <w:szCs w:val="24"/>
          <w:lang w:eastAsia="ru-RU"/>
        </w:rPr>
      </w:pPr>
    </w:p>
    <w:p>
      <w:pPr>
        <w:spacing w:after="0"/>
        <w:ind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СПК « Возрождение» занимается только производством и реализацией растениеводческой продукции. В 2010 году урожайность зерновых культур в хозяйстве составила 8,2 ц/га, в 2011 году ожидаемая урожайность- 9 ц/га.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настоящее время не только предприятия, но и граждане, ведущие подсобное хозяйство, имеют доступ к банковским кредитам. А это значит, что они  имеют реальную  возможность организации и расширения своего семейного  малого бизнеса. В 2010 году главы  19 ЛПХ оформили кредиты в «Россельхозбанке» на сумму около 2 млн. рублей, за 8 месяцев 2011 года – 23 главы ЛПХ – на сумму около 2,5 млн. руб. </w:t>
      </w:r>
    </w:p>
    <w:p>
      <w:pPr>
        <w:spacing w:after="0"/>
        <w:rPr>
          <w:rFonts w:ascii="Calibri" w:hAnsi="Calibri" w:eastAsia="Times New Roman" w:cs="Times New Roman"/>
          <w:lang w:eastAsia="ru-RU"/>
        </w:rPr>
      </w:pPr>
    </w:p>
    <w:p>
      <w:pPr>
        <w:spacing w:after="0"/>
        <w:ind w:firstLine="426"/>
        <w:jc w:val="both"/>
        <w:rPr>
          <w:rFonts w:ascii="Times New Roman" w:hAnsi="Times New Roman" w:eastAsia="Times New Roman" w:cs="Times New Roman"/>
          <w:sz w:val="24"/>
          <w:szCs w:val="24"/>
          <w:lang w:eastAsia="ru-RU"/>
        </w:rPr>
      </w:pPr>
    </w:p>
    <w:p>
      <w:pPr>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Туризм и рекреация</w:t>
      </w:r>
    </w:p>
    <w:p>
      <w:pPr>
        <w:spacing w:after="0"/>
        <w:jc w:val="center"/>
        <w:rPr>
          <w:rFonts w:ascii="Times New Roman" w:hAnsi="Times New Roman" w:eastAsia="Times New Roman" w:cs="Times New Roman"/>
          <w:b/>
          <w:bCs/>
          <w:sz w:val="24"/>
          <w:szCs w:val="24"/>
          <w:lang w:eastAsia="ru-RU"/>
        </w:rPr>
      </w:pP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Территория Дмитриевского сельского поселения благоприятна для отдыха не только местного населения, но и жителей других районов Ивановской области и других субъектов РФ благодаря своим природным достоинствам — сочетанию водных поверхностей, значительных лесных массивов, пересеченного рельефа.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Дмитриевское поселение располагает ресурсами для туризма — поселение входит в зону наибольшего развития самодеятельного туризма. Большую часть самодеятельного потока составляют туристы, предпочитающие активный спортивно-оздоровительный вид туризма, часто он сочетается с познавательным интересообщероссийского значения.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настоящее время в Дмитриевском поселении большое развитие получил туризм местного и общероссийского значения.</w:t>
      </w:r>
    </w:p>
    <w:p>
      <w:pPr>
        <w:widowControl w:val="0"/>
        <w:numPr>
          <w:ilvl w:val="0"/>
          <w:numId w:val="17"/>
        </w:numPr>
        <w:suppressAutoHyphen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«Путешествие по земле А.Н.Островского» (Кинешма-Заволжск-Ананьино-Новая Мера-Семеновцево-Бобры, Угольское-Сергеево-Лобаново-Николо-Бережки-Щелыково-возвращение автобусом в Заволжск). 3-дневный, протяженность 50 км (пеший).</w:t>
      </w:r>
    </w:p>
    <w:p>
      <w:pPr>
        <w:spacing w:after="0"/>
        <w:jc w:val="both"/>
        <w:rPr>
          <w:rFonts w:ascii="Times New Roman" w:hAnsi="Times New Roman" w:eastAsia="Times New Roman" w:cs="Times New Roman"/>
          <w:b/>
          <w:bCs/>
          <w:sz w:val="24"/>
          <w:szCs w:val="24"/>
          <w:lang w:eastAsia="ru-RU"/>
        </w:rPr>
      </w:pPr>
    </w:p>
    <w:p>
      <w:pPr>
        <w:keepNext/>
        <w:keepLines/>
        <w:spacing w:before="240" w:after="0"/>
        <w:ind w:left="709"/>
        <w:outlineLvl w:val="0"/>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2.5.3. ЖИЛОЙ ФОНД И ЖИЛИЩНОЕ СТРОИТЕЛЬСТВО</w:t>
      </w:r>
    </w:p>
    <w:p>
      <w:pPr>
        <w:spacing w:after="0" w:line="240" w:lineRule="auto"/>
        <w:ind w:firstLine="709"/>
        <w:contextualSpacing/>
        <w:jc w:val="both"/>
        <w:rPr>
          <w:rFonts w:ascii="Times New Roman" w:hAnsi="Times New Roman" w:eastAsia="Times New Roman" w:cs="Times New Roman"/>
          <w:sz w:val="24"/>
          <w:lang w:eastAsia="ru-RU"/>
        </w:rPr>
      </w:pPr>
    </w:p>
    <w:p>
      <w:pPr>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Основными целями муниципальной жилищной политики   являются формирование комфортных условий проживания для всех групп населения, обеспечение населения современным и относительно недорогим жильем, обеспечение гарантированного стандарта качества жилья.</w:t>
      </w:r>
    </w:p>
    <w:p>
      <w:pPr>
        <w:spacing w:after="0" w:line="240" w:lineRule="auto"/>
        <w:ind w:firstLine="709"/>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Согласно действующему законодательству к  полномочиям органов местного самоуправления в области жилищных отношений относятся:</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учет муниципального жилищного фонда;</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ведение в установленном порядке учета граждан в качестве нуждающихся в жилых помещениях, предоставляемых по договорам социального найма;</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определение порядка предоставления жилых помещений муниципального специализированного жилищного фонда;</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предоставление в установленном порядке малоимущим гражданам по договорам социального найма жилых помещений муниципального жилищного фонда;</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принятие в установленном порядке решений о переводе жилых помещений в нежилые помещения и нежилых помещений в жилые помещения;</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согласование переустройства и перепланировки жилых помещений;</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признание в установленном порядке жилых помещений муниципального жилищного фонда непригодными для проживания;</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осуществление контроля за использованием и сохранностью муниципального жилищного фонда, соответствием жилых помещений данного фонда;</w:t>
      </w:r>
    </w:p>
    <w:p>
      <w:pPr>
        <w:numPr>
          <w:ilvl w:val="0"/>
          <w:numId w:val="18"/>
        </w:numPr>
        <w:spacing w:before="120" w:after="0" w:line="240" w:lineRule="auto"/>
        <w:contextualSpacing/>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установленным санитарным и техническим правилам и нормам, иным требованиям законодательства.</w:t>
      </w:r>
    </w:p>
    <w:p>
      <w:pPr>
        <w:suppressAutoHyphens/>
        <w:spacing w:after="0" w:line="240" w:lineRule="auto"/>
        <w:ind w:firstLine="284"/>
        <w:contextualSpacing/>
        <w:jc w:val="both"/>
        <w:rPr>
          <w:rFonts w:ascii="Times New Roman" w:hAnsi="Times New Roman" w:eastAsia="Times New Roman" w:cs="Times New Roman"/>
          <w:bCs/>
          <w:sz w:val="24"/>
          <w:szCs w:val="24"/>
          <w:lang w:eastAsia="ar-SA"/>
        </w:rPr>
      </w:pPr>
    </w:p>
    <w:p>
      <w:pPr>
        <w:spacing w:after="0"/>
        <w:jc w:val="center"/>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Жилой  фонд</w:t>
      </w:r>
    </w:p>
    <w:tbl>
      <w:tblPr>
        <w:tblStyle w:val="22"/>
        <w:tblW w:w="988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610"/>
        <w:gridCol w:w="668"/>
        <w:gridCol w:w="1073"/>
        <w:gridCol w:w="833"/>
        <w:gridCol w:w="1230"/>
        <w:gridCol w:w="764"/>
        <w:gridCol w:w="1184"/>
        <w:gridCol w:w="643"/>
        <w:gridCol w:w="1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51"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п/п</w:t>
            </w:r>
          </w:p>
        </w:tc>
        <w:tc>
          <w:tcPr>
            <w:tcW w:w="1610"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Населенный пункт</w:t>
            </w:r>
          </w:p>
        </w:tc>
        <w:tc>
          <w:tcPr>
            <w:tcW w:w="1741" w:type="dxa"/>
            <w:gridSpan w:val="2"/>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Многоэтажные</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дома</w:t>
            </w:r>
          </w:p>
        </w:tc>
        <w:tc>
          <w:tcPr>
            <w:tcW w:w="2063" w:type="dxa"/>
            <w:gridSpan w:val="2"/>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Многоквартирные</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дома</w:t>
            </w:r>
          </w:p>
        </w:tc>
        <w:tc>
          <w:tcPr>
            <w:tcW w:w="1948" w:type="dxa"/>
            <w:gridSpan w:val="2"/>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Индивидуальные</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дома</w:t>
            </w:r>
          </w:p>
        </w:tc>
        <w:tc>
          <w:tcPr>
            <w:tcW w:w="1676" w:type="dxa"/>
            <w:gridSpan w:val="2"/>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Всего</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домов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trPr>
        <w:tc>
          <w:tcPr>
            <w:tcW w:w="851" w:type="dxa"/>
            <w:vMerge w:val="continue"/>
          </w:tcPr>
          <w:p>
            <w:pPr>
              <w:spacing w:after="0"/>
              <w:jc w:val="center"/>
              <w:rPr>
                <w:rFonts w:ascii="Times New Roman" w:hAnsi="Times New Roman" w:eastAsia="Times New Roman" w:cs="Times New Roman"/>
                <w:lang w:eastAsia="ru-RU"/>
              </w:rPr>
            </w:pPr>
          </w:p>
        </w:tc>
        <w:tc>
          <w:tcPr>
            <w:tcW w:w="1610" w:type="dxa"/>
            <w:vMerge w:val="continue"/>
          </w:tcPr>
          <w:p>
            <w:pPr>
              <w:spacing w:after="0"/>
              <w:jc w:val="center"/>
              <w:rPr>
                <w:rFonts w:ascii="Times New Roman" w:hAnsi="Times New Roman" w:eastAsia="Times New Roman" w:cs="Times New Roman"/>
                <w:lang w:eastAsia="ru-RU"/>
              </w:rPr>
            </w:pP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кол-во</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число</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прожив.</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кол-во</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число</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прожив.</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кол-во</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число</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прожив.</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кол-во</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число</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прожив.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с.Колшево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128</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50</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113</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242</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140</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д.Лыково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д.Поделово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д.Ямново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д.Князево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д.Ивашево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35</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71</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38</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с.Кистега</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47</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17</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29</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д.Корнилово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68</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43</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65</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52</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д.Федосцыно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49</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49</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80</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59</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10</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д.Крапивка</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4</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8</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11</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д.Аверино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д.Вьюшково </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13</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д.Вострово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12</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14</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д.Голочёлово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3</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15</w:t>
            </w:r>
          </w:p>
        </w:tc>
        <w:tc>
          <w:tcPr>
            <w:tcW w:w="161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д.Чуприяново</w:t>
            </w:r>
          </w:p>
        </w:tc>
        <w:tc>
          <w:tcPr>
            <w:tcW w:w="668"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07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8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1230"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tc>
        <w:tc>
          <w:tcPr>
            <w:tcW w:w="76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184"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64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03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r>
    </w:tbl>
    <w:p>
      <w:pPr>
        <w:spacing w:after="0"/>
        <w:jc w:val="both"/>
        <w:rPr>
          <w:rFonts w:ascii="Times New Roman" w:hAnsi="Times New Roman" w:eastAsia="Times New Roman" w:cs="Times New Roman"/>
          <w:sz w:val="24"/>
          <w:szCs w:val="24"/>
          <w:lang w:eastAsia="ru-RU"/>
        </w:rPr>
      </w:pP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Обеспеченность жильем:  очередь на улучшение жилищных условий состоит из 5(пяти) человек; очередь на улучшение жилищных условий детям-сиротам  состоит из 7 человек.</w:t>
      </w:r>
    </w:p>
    <w:p>
      <w:pPr>
        <w:spacing w:after="0"/>
        <w:ind w:firstLine="709"/>
        <w:jc w:val="center"/>
        <w:rPr>
          <w:rFonts w:ascii="Times New Roman" w:hAnsi="Times New Roman" w:eastAsia="Times New Roman" w:cs="Times New Roman"/>
          <w:sz w:val="24"/>
          <w:szCs w:val="24"/>
          <w:u w:val="single"/>
          <w:lang w:eastAsia="ru-RU"/>
        </w:rPr>
      </w:pPr>
      <w:r>
        <w:rPr>
          <w:rFonts w:ascii="Times New Roman" w:hAnsi="Times New Roman" w:eastAsia="Times New Roman" w:cs="Times New Roman"/>
          <w:sz w:val="24"/>
          <w:szCs w:val="24"/>
          <w:u w:val="single"/>
          <w:lang w:eastAsia="ru-RU"/>
        </w:rPr>
        <w:t>Жилищное строительство</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Жилищное строительство в поселении характеризуется своей нестабильностью и низкими темпами.</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Рост жилищного фонда обеспечивается в основном за счет индивидуального жилищного строительства.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Наибольший удельный вес в структуре жилищного фонда Дмитриевского поселения занимает частный жилой фонд. Общий объем жилья остается ниже областного показателя, при более высоком показателе обеспеченности жильем на одного жителя.</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Несмотря на большую обеспеченность жильем в поселении остро стоит проблема быстрого ветшания жилого фонда. Основная доля ветхого фонда — это многоквартирные дома. </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 каждым годом данные показатели будут увеличиваться. В связи с этим основной объем жилищного строительства должен быть направлен на компенсацию выбытия жилья по ветхости, а также на реконструкцию и капитальный ремонт жилых домов.</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Кроме этого большая часть жилого фонда лишена канализации, центрального водоснабжения и отопления.</w:t>
      </w:r>
    </w:p>
    <w:p>
      <w:pPr>
        <w:keepNext/>
        <w:keepLines/>
        <w:spacing w:before="480" w:after="0"/>
        <w:ind w:firstLine="709"/>
        <w:outlineLvl w:val="0"/>
        <w:rPr>
          <w:rFonts w:ascii="Times New Roman" w:hAnsi="Times New Roman" w:eastAsia="Times New Roman" w:cs="Times New Roman"/>
          <w:b/>
          <w:bCs/>
          <w:sz w:val="24"/>
          <w:szCs w:val="28"/>
          <w:lang w:eastAsia="ru-RU"/>
        </w:rPr>
      </w:pPr>
      <w:r>
        <w:rPr>
          <w:rFonts w:ascii="Times New Roman" w:hAnsi="Times New Roman" w:eastAsia="Times New Roman" w:cs="Times New Roman"/>
          <w:b/>
          <w:bCs/>
          <w:sz w:val="24"/>
          <w:szCs w:val="28"/>
          <w:lang w:eastAsia="ru-RU"/>
        </w:rPr>
        <w:t>2.5.4. СОЦИАЛЬНАЯ ИНФРАСТРУКТУРА И БЫТОВОЕ ОБСЛУЖИВАНИЕ НАСЕЛЕНИЯ</w:t>
      </w:r>
    </w:p>
    <w:p>
      <w:pPr>
        <w:spacing w:before="240" w:after="0" w:line="240" w:lineRule="auto"/>
        <w:ind w:firstLine="709"/>
        <w:contextualSpacing/>
        <w:jc w:val="both"/>
        <w:rPr>
          <w:rFonts w:ascii="Times New Roman" w:hAnsi="Times New Roman" w:eastAsia="Times New Roman" w:cs="Times New Roman"/>
          <w:sz w:val="24"/>
          <w:vertAlign w:val="superscript"/>
          <w:lang w:eastAsia="ru-RU"/>
        </w:rPr>
      </w:pPr>
      <w:r>
        <w:rPr>
          <w:rFonts w:ascii="Times New Roman" w:hAnsi="Times New Roman" w:eastAsia="Times New Roman" w:cs="Times New Roman"/>
          <w:sz w:val="24"/>
          <w:lang w:eastAsia="ru-RU"/>
        </w:rPr>
        <w:t xml:space="preserve">Социальная инфраструктура – система необходимых для жизнеобеспечения человека материальных объектов (зданий, сооружений) и коммуникаций населенного пункта (территории),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согласно установленным показателям качества жизни. </w:t>
      </w:r>
    </w:p>
    <w:p>
      <w:pPr>
        <w:spacing w:before="240" w:after="0" w:line="240" w:lineRule="auto"/>
        <w:ind w:firstLine="709"/>
        <w:contextualSpacing/>
        <w:jc w:val="both"/>
        <w:rPr>
          <w:rFonts w:ascii="Times New Roman" w:hAnsi="Times New Roman" w:eastAsia="Times New Roman" w:cs="Times New Roman"/>
          <w:sz w:val="24"/>
          <w:vertAlign w:val="superscript"/>
          <w:lang w:eastAsia="ru-RU"/>
        </w:rPr>
      </w:pPr>
      <w:r>
        <w:rPr>
          <w:rFonts w:ascii="Times New Roman" w:hAnsi="Times New Roman" w:eastAsia="Calibri" w:cs="Times New Roman"/>
          <w:sz w:val="24"/>
          <w:lang w:eastAsia="ru-RU"/>
        </w:rPr>
        <w:t xml:space="preserve">Генеральным планом предусматриваются мероприятия, направленные на оптимальное пространственное размещение указанных объектов с целью повышения доступности оказываемых населению социальных услуг. </w:t>
      </w:r>
    </w:p>
    <w:p>
      <w:pPr>
        <w:widowControl w:val="0"/>
        <w:autoSpaceDE w:val="0"/>
        <w:autoSpaceDN w:val="0"/>
        <w:adjustRightInd w:val="0"/>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Село Колшево, являясь административным и экономическим центром Дмитриевского сельского поселения, имеет разнообразный состав объектов и учреждений культурно-бытового обслуживания,  включает в себя комплекс социальных объектов, исполняет роль центра эпизодического и периодического культурно-бытового обслуживания, а также центра повседневного обслуживания жителей села, прилегающих сельских населенных пунктов и всего поселения в целом. </w:t>
      </w:r>
    </w:p>
    <w:p>
      <w:pPr>
        <w:spacing w:before="240" w:after="0" w:line="240" w:lineRule="auto"/>
        <w:ind w:firstLine="708"/>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Увеличение потребности в некоторых видах учреждений (гостиницы, досуговые, развлекательные объекты и др.) обусловлены увеличением мобильности населения.</w:t>
      </w:r>
    </w:p>
    <w:p>
      <w:pPr>
        <w:spacing w:before="240" w:after="0" w:line="240" w:lineRule="auto"/>
        <w:ind w:firstLine="708"/>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Проектные предложения, основанные на комплексном анализе социальной инфраструктуры, в рамках настоящего проекта, определяют направления развития и совершенствования современной структуры объектов обслуживания в соответствии с концепцией пространственного планирования Генерального плана Дмитриевского сельского поселения, а также обеспечения наибольших удобств пользования различными учреждениями социальной сферы.</w:t>
      </w:r>
    </w:p>
    <w:p>
      <w:pPr>
        <w:numPr>
          <w:ilvl w:val="1"/>
          <w:numId w:val="0"/>
        </w:numPr>
        <w:spacing w:after="0"/>
        <w:contextualSpacing/>
        <w:jc w:val="both"/>
        <w:rPr>
          <w:rFonts w:ascii="Times New Roman" w:hAnsi="Times New Roman" w:eastAsia="Times New Roman" w:cs="Times New Roman"/>
          <w:b/>
          <w:sz w:val="24"/>
          <w:szCs w:val="24"/>
          <w:lang w:eastAsia="ar-SA"/>
        </w:rPr>
      </w:pPr>
    </w:p>
    <w:p>
      <w:pPr>
        <w:keepNext/>
        <w:tabs>
          <w:tab w:val="left" w:pos="576"/>
        </w:tabs>
        <w:suppressAutoHyphens/>
        <w:spacing w:before="240" w:after="0" w:line="240" w:lineRule="auto"/>
        <w:ind w:firstLine="709"/>
        <w:contextualSpacing/>
        <w:jc w:val="both"/>
        <w:outlineLvl w:val="1"/>
        <w:rPr>
          <w:rFonts w:ascii="Times New Roman" w:hAnsi="Times New Roman" w:eastAsia="Times New Roman" w:cs="Times New Roman"/>
          <w:b/>
          <w:bCs/>
          <w:iCs/>
          <w:sz w:val="24"/>
          <w:szCs w:val="24"/>
          <w:lang w:eastAsia="ar-SA"/>
        </w:rPr>
      </w:pPr>
      <w:bookmarkStart w:id="13" w:name="_Toc312173562"/>
      <w:r>
        <w:rPr>
          <w:rFonts w:ascii="Times New Roman" w:hAnsi="Times New Roman" w:eastAsia="Times New Roman" w:cs="Times New Roman"/>
          <w:b/>
          <w:bCs/>
          <w:iCs/>
          <w:sz w:val="24"/>
          <w:szCs w:val="24"/>
          <w:lang w:eastAsia="ar-SA"/>
        </w:rPr>
        <w:t>2.5.4.1. УЧРЕЖДЕНИЯ ОБРАЗОВАНИЯ</w:t>
      </w:r>
      <w:bookmarkEnd w:id="13"/>
    </w:p>
    <w:p>
      <w:pPr>
        <w:spacing w:after="0"/>
        <w:rPr>
          <w:rFonts w:ascii="Calibri" w:hAnsi="Calibri" w:eastAsia="Times New Roman" w:cs="Times New Roman"/>
          <w:lang w:eastAsia="ar-SA"/>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Дмитриевского сельского поселения функционирует МКОУ Колшевская основная общеобразовательная школа. При образовательном учреждении действуют дошкольная группа и интернат. Состояние здания образовательного учреждения удовлетворительное. Организован подвоз учащихся из соседних населенных пунктов школьными автобусами.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Школа подключена к сети Интернет, учащиеся имеют возможность дистанционного обучения на базе МКОУ Заволжского лицея. </w:t>
      </w:r>
    </w:p>
    <w:p>
      <w:pPr>
        <w:numPr>
          <w:ilvl w:val="1"/>
          <w:numId w:val="0"/>
        </w:numPr>
        <w:spacing w:after="0"/>
        <w:contextualSpacing/>
        <w:jc w:val="both"/>
        <w:rPr>
          <w:rFonts w:ascii="Times New Roman" w:hAnsi="Times New Roman" w:eastAsia="Times New Roman" w:cs="Times New Roman"/>
          <w:b/>
          <w:sz w:val="24"/>
          <w:szCs w:val="24"/>
          <w:lang w:eastAsia="ar-SA"/>
        </w:rPr>
      </w:pPr>
    </w:p>
    <w:p>
      <w:pPr>
        <w:tabs>
          <w:tab w:val="left" w:pos="142"/>
        </w:tabs>
        <w:spacing w:after="0"/>
        <w:ind w:left="426"/>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2.5.4.2. УЧРЕЖДЕНИЯ ЗДРАВООХРАНЕНИЯ И СОЦИАЛЬНОГО ОБЕСПЕЧЕНИЯ</w:t>
      </w:r>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поселения функционируют 5 фельдшерско-акушерских</w:t>
      </w:r>
      <w:r>
        <w:rPr>
          <w:rFonts w:ascii="Calibri" w:hAnsi="Calibri" w:eastAsia="Times New Roman" w:cs="Times New Roman"/>
          <w:szCs w:val="29"/>
          <w:lang w:eastAsia="ru-RU"/>
        </w:rPr>
        <w:t xml:space="preserve"> </w:t>
      </w:r>
      <w:r>
        <w:rPr>
          <w:rFonts w:ascii="Times New Roman" w:hAnsi="Times New Roman" w:eastAsia="Times New Roman" w:cs="Times New Roman"/>
          <w:sz w:val="24"/>
          <w:szCs w:val="24"/>
          <w:lang w:eastAsia="ru-RU"/>
        </w:rPr>
        <w:t>пункта (ФАП):</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 Колшево – техническое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Ивашево –  в 2012 году выполнен косметический ремонт;</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 Кистега – техническое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 Корнилово – состояние здания удовлетворительное, но не соответствует требованиям;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 Федосцыно - состояние здания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 всех ФАПах организована продажа медикаментов для населения.</w:t>
      </w:r>
    </w:p>
    <w:p>
      <w:pPr>
        <w:spacing w:after="0"/>
        <w:jc w:val="both"/>
        <w:rPr>
          <w:rFonts w:ascii="Times New Roman" w:hAnsi="Times New Roman" w:eastAsia="Times New Roman" w:cs="Times New Roman"/>
          <w:sz w:val="24"/>
          <w:szCs w:val="24"/>
          <w:lang w:eastAsia="ru-RU"/>
        </w:rPr>
      </w:pPr>
    </w:p>
    <w:p>
      <w:pPr>
        <w:keepNext/>
        <w:tabs>
          <w:tab w:val="left" w:pos="576"/>
        </w:tabs>
        <w:suppressAutoHyphens/>
        <w:spacing w:before="240" w:after="0" w:line="240" w:lineRule="auto"/>
        <w:ind w:firstLine="426"/>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2.5.4.3. УЧРЕЖДЕНИЯ КУЛЬТУРЫ И ИСКУССТВА</w:t>
      </w:r>
    </w:p>
    <w:p>
      <w:pPr>
        <w:spacing w:after="0"/>
        <w:rPr>
          <w:rFonts w:ascii="Calibri" w:hAnsi="Calibri" w:eastAsia="Times New Roman" w:cs="Times New Roman"/>
          <w:lang w:eastAsia="ar-SA"/>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поселения работает муниципальное казённое учреждение культуры «Вдохновение» в ведении которого находятся 4 библиотеки и 2 клуба: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 Колшево, ул. Школьная, д.3 – сельская библиотека;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2.с. Колшево, ул. Школьная, д.3 – сельский дом культуры;</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3.д. Ивашево, д.37 – библиотека;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4.д. Корнилово, ул. Школьная, д.9 –сельская библиотека;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5.д. Корнилово, ул. Школьная, д.8 –сельский клуб;</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6.д. Федосцыно, ул. Центральная, д.19- сельская библиотека;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Техническое состояние зданий культуры удовлетворительное. В Колшевском сельском доме культуры ведется капитальный ремонт, планируемая дата окончания ремонта 4 квартал 2012 года.</w:t>
      </w:r>
    </w:p>
    <w:p>
      <w:pPr>
        <w:keepNext/>
        <w:tabs>
          <w:tab w:val="left" w:pos="576"/>
        </w:tabs>
        <w:suppressAutoHyphens/>
        <w:spacing w:before="240" w:after="0" w:line="240" w:lineRule="auto"/>
        <w:ind w:left="426"/>
        <w:jc w:val="both"/>
        <w:outlineLvl w:val="1"/>
        <w:rPr>
          <w:rFonts w:ascii="Times New Roman" w:hAnsi="Times New Roman" w:eastAsia="Times New Roman" w:cs="Times New Roman"/>
          <w:b/>
          <w:bCs/>
          <w:iCs/>
          <w:sz w:val="24"/>
          <w:szCs w:val="28"/>
          <w:lang w:eastAsia="ar-SA"/>
        </w:rPr>
      </w:pPr>
      <w:r>
        <w:rPr>
          <w:rFonts w:ascii="Times New Roman" w:hAnsi="Times New Roman" w:eastAsia="Times New Roman" w:cs="Times New Roman"/>
          <w:b/>
          <w:bCs/>
          <w:iCs/>
          <w:sz w:val="24"/>
          <w:szCs w:val="28"/>
          <w:lang w:eastAsia="ar-SA"/>
        </w:rPr>
        <w:t>2.5.4.4. ФИЗКУЛЬТУРА И СПОРТ</w:t>
      </w:r>
    </w:p>
    <w:p>
      <w:pPr>
        <w:autoSpaceDE w:val="0"/>
        <w:autoSpaceDN w:val="0"/>
        <w:adjustRightInd w:val="0"/>
        <w:spacing w:before="240" w:after="0" w:line="240" w:lineRule="auto"/>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благоприятных условий для массового развития физической культуры и спорта, пропаганда здорового образа жизни, организация досуга жителей  поселения - одна из важнейших задач поселения.</w:t>
      </w:r>
    </w:p>
    <w:p>
      <w:pPr>
        <w:spacing w:after="0"/>
        <w:ind w:firstLine="56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Физкультурно-спортивная работа по месту жительства проводится  через секции на базе общеобразовательной школы и спортивных сооружений. Проблемы и нерешенные вопросы в области физической культуры и спорта является недостаточное финансирование в данной области.</w:t>
      </w:r>
    </w:p>
    <w:p>
      <w:pPr>
        <w:rPr>
          <w:rFonts w:ascii="Calibri" w:hAnsi="Calibri" w:eastAsia="Times New Roman" w:cs="Times New Roman"/>
          <w:lang w:eastAsia="ar-SA"/>
        </w:rPr>
      </w:pPr>
    </w:p>
    <w:p>
      <w:pPr>
        <w:ind w:left="426"/>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2.5.4.5. ПРЕДПРИЯТИЯ ТОРГОВЛИ, ОБЩЕСТВЕННОГО ПИТАНИЯ И КОММУНАЛЬНО-БЫТОВОГО ОБСЛУЖИВАНИЯ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поселения функционирует 7 объектов торговли. Все магазины обслуживают индивидуальные предприниматели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 Колшево, ул.Школьная,д.6– ИП «Чернова Ю.В.»,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с. Колшево ,ул.Школьная.д.8 – ИП «Кашин В.Ф.»,состояние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 Колшево, ул.Школьная Д.8 –ИП «Груздева Н.В.»,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д. Ивашево ,д.41 –ИП «Чернова Ю.В.»,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с. Кистега ,ул.Центральная д.7 –ИП «Кашин В.Ф.» ,состояние удовлетворительное;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 д. Корнилово, ул.Центральная д.1- ИП «Потемкин С.И.», состояние здания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неудовлетворительное, требуется капитальный ремонт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д. Федосцыно, ул. Почтовая д.2 – ИП «Кашин В.Ф.», состояние удовлетворительное.</w:t>
      </w:r>
    </w:p>
    <w:p>
      <w:pPr>
        <w:keepNext/>
        <w:tabs>
          <w:tab w:val="left" w:pos="576"/>
        </w:tabs>
        <w:suppressAutoHyphens/>
        <w:spacing w:before="240" w:after="60" w:line="240" w:lineRule="auto"/>
        <w:ind w:firstLine="709"/>
        <w:outlineLvl w:val="1"/>
        <w:rPr>
          <w:rFonts w:ascii="Times New Roman" w:hAnsi="Times New Roman" w:eastAsia="Times New Roman" w:cs="Times New Roman"/>
          <w:b/>
          <w:bCs/>
          <w:iCs/>
          <w:sz w:val="24"/>
          <w:szCs w:val="28"/>
          <w:lang w:eastAsia="ar-SA"/>
        </w:rPr>
      </w:pPr>
      <w:r>
        <w:rPr>
          <w:rFonts w:ascii="Times New Roman" w:hAnsi="Times New Roman" w:eastAsia="Times New Roman" w:cs="Times New Roman"/>
          <w:b/>
          <w:bCs/>
          <w:iCs/>
          <w:sz w:val="24"/>
          <w:szCs w:val="28"/>
          <w:lang w:eastAsia="ar-SA"/>
        </w:rPr>
        <w:t>2.5.4.6. ОРГАНИЗАЦИЯ РИТУАЛЬНЫХ УСЛУГ</w:t>
      </w:r>
    </w:p>
    <w:p>
      <w:pPr>
        <w:spacing w:before="200" w:line="240" w:lineRule="auto"/>
        <w:ind w:firstLine="567"/>
        <w:jc w:val="both"/>
        <w:rPr>
          <w:rFonts w:ascii="Calibri" w:hAnsi="Calibri" w:eastAsia="Times New Roman" w:cs="Times New Roman"/>
          <w:sz w:val="28"/>
          <w:szCs w:val="28"/>
          <w:lang w:eastAsia="ru-RU"/>
        </w:rPr>
      </w:pPr>
      <w:r>
        <w:rPr>
          <w:rFonts w:ascii="Times New Roman" w:hAnsi="Times New Roman" w:eastAsia="Times New Roman" w:cs="Times New Roman"/>
          <w:sz w:val="24"/>
          <w:szCs w:val="24"/>
          <w:lang w:eastAsia="ru-RU"/>
        </w:rPr>
        <w:t>На территории Дмитриевского сельского поселения расположено 2 кладбища, открытых для захоронения,  близ с. Колшево и д. Аверино.</w:t>
      </w:r>
      <w:bookmarkStart w:id="14" w:name="_Toc312173788"/>
      <w:bookmarkStart w:id="15" w:name="_Toc312171067"/>
    </w:p>
    <w:p>
      <w:pPr>
        <w:spacing w:before="200" w:line="240" w:lineRule="auto"/>
        <w:ind w:firstLine="567"/>
        <w:jc w:val="center"/>
        <w:rPr>
          <w:rFonts w:ascii="Calibri" w:hAnsi="Calibri" w:eastAsia="Times New Roman" w:cs="Times New Roman"/>
          <w:sz w:val="28"/>
          <w:szCs w:val="28"/>
          <w:lang w:eastAsia="ru-RU"/>
        </w:rPr>
      </w:pPr>
    </w:p>
    <w:p>
      <w:pPr>
        <w:widowControl w:val="0"/>
        <w:numPr>
          <w:ilvl w:val="1"/>
          <w:numId w:val="16"/>
        </w:numPr>
        <w:spacing w:before="240" w:after="80"/>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ОХРАНА ОБЪЕКТОВ ИСТОРИКО-КУЛЬТУРНОГО НАСЛЕДИЯ</w:t>
      </w:r>
      <w:bookmarkEnd w:id="14"/>
      <w:bookmarkEnd w:id="15"/>
    </w:p>
    <w:p>
      <w:pPr>
        <w:spacing w:after="0"/>
        <w:ind w:firstLine="426"/>
        <w:jc w:val="both"/>
        <w:rPr>
          <w:rFonts w:ascii="Times New Roman" w:hAnsi="Times New Roman" w:eastAsia="Times New Roman" w:cs="Times New Roman"/>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каждый объект культурного наследия должны быть разработаны проекты зон охраны и в их составе показаны границы охранных зон. Определение границ  охраняемого объекта позволит разработать для него градостроительные регламенты с определением разрешенного использования земельных участков, установлением охранных ограничений.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Границы зон охраны объекта культурного наследия регионального значения, местного (муниципального) значения, выявленных объектов культурного наследия до принятия решения о включении их в реестр либо об отказе включить данный объект в реестр, подлежащих государственной охране в соответствии с федеральным законодательством, режимы использования земель и градостроительные регламенты в границах данных зон охраны утверждаются Правительством Ивановской области по предоставлению областного органа охраны объектов культурного наследия на основании проекта зон охраны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Проекты режимов использования земель и градостроительных регламентов в границах зон охраны объектов культурного наследия должны разрабатываться с учетом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26.04.2008 №315.</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сохранения объектов культурного наследия в его исторической среде на сопряженной с ним территории устанавливаются зоны охраны: охранная зона, зона регулирования застройки и хозяйственной деятельности, зона охраняемого природного ландшафта.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Особый режим использования земель и градостроительный регламент в границах охранной зоны должен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запрещение строительства, за исключением применения специальных мер, направленных на сохранение и восстановление (регенерацию) историко- градостроительной или природной среды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ограничение капитального ремонта и реконструкции объектов капитального строительства и их частей, в том числе касающиеся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 п.), а также регулирование проведения работ по озеленению;</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обеспечение пожарной безопасности объектов культурного наследия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сохранение гидрогеологических и экологических условий, необходимых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иные требования, необходимые для обеспечения сохранности объекта культурного наследия в его историческом и ландшафтном окружении.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 использования земель и градостроительный регламент в границах зоны регулирования застройки и хозяйственной деятельности должен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ограничение строительства, необходимое для обеспечения сохранности объекта культурного наследия,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обеспечение визуального восприятия объекта культурного наследия в его историко-градостроительной и природной среде;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 п.), а также регулирование проведения работ по озеленению;</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обеспечение пожарной безопасности объекта культурного наследия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 сохранение гидрогеологических и экологических условий, необходимых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 обеспечение сохранности всех исторически ценных градоформирующих объектов;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 иные требования, необходимые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 использования земель и градостроительный регламент в границах зоны охраняемого природного ландшафта должны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запрещение или ограничение хозяйственной деятельности, строительства,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обеспечение пожарной безопасности охраняемого природного ландшафта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сохранение гидрологических и экологических условий, необходимых для обеспечения сохранности и восстановления (регенерации) охраняемого природного ландшафта;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 иные требования, необходимые для сохранения и восстановления (регенерации) охраняемого природного ландшафта.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Соблюдение режимов использования земель и градостроительных регламентов в границах зон охраны объектов культурного наследия является обязательным при осуществлении градостроительной, хозяйственной и иной деятельности.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настоящее время необходимо провести актуализацию ранее выполненных проектов, для чего необходимо выполнить корректировки проектов охранных зон с установлением градостроительных регламентов и внесением их в соответствующие Правила землепользования и застройки.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Решением Ивановского областного Совета народных депутатов от 16.07.1973 №408 были утверждены проекты охранных зон и зон регулирования застройки памятников истории и архитектуры.</w:t>
      </w:r>
    </w:p>
    <w:p>
      <w:pPr>
        <w:widowControl w:val="0"/>
        <w:numPr>
          <w:ilvl w:val="0"/>
          <w:numId w:val="19"/>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 ансамбля культовых и гражданских зданий </w:t>
      </w:r>
      <w:r>
        <w:rPr>
          <w:rFonts w:ascii="Times New Roman" w:hAnsi="Times New Roman" w:eastAsia="Times New Roman" w:cs="Times New Roman"/>
          <w:sz w:val="24"/>
          <w:szCs w:val="24"/>
          <w:lang w:val="en-US" w:eastAsia="ru-RU"/>
        </w:rPr>
        <w:t>XVIII</w:t>
      </w:r>
      <w:r>
        <w:rPr>
          <w:rFonts w:ascii="Times New Roman" w:hAnsi="Times New Roman" w:eastAsia="Times New Roman" w:cs="Times New Roman"/>
          <w:sz w:val="24"/>
          <w:szCs w:val="24"/>
          <w:lang w:eastAsia="ru-RU"/>
        </w:rPr>
        <w:t xml:space="preserve"> – </w:t>
      </w:r>
      <w:r>
        <w:rPr>
          <w:rFonts w:ascii="Times New Roman" w:hAnsi="Times New Roman" w:eastAsia="Times New Roman" w:cs="Times New Roman"/>
          <w:sz w:val="24"/>
          <w:szCs w:val="24"/>
          <w:lang w:val="en-US" w:eastAsia="ru-RU"/>
        </w:rPr>
        <w:t>XIX</w:t>
      </w:r>
      <w:r>
        <w:rPr>
          <w:rFonts w:ascii="Times New Roman" w:hAnsi="Times New Roman" w:eastAsia="Times New Roman" w:cs="Times New Roman"/>
          <w:sz w:val="24"/>
          <w:szCs w:val="24"/>
          <w:lang w:eastAsia="ru-RU"/>
        </w:rPr>
        <w:t xml:space="preserve"> в (с. Колшево)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Границы зон охраны, режимы использования земель и градостроительные регламенты данных объектов требуют корректировки с учетом существующей ситуации.</w:t>
      </w:r>
    </w:p>
    <w:p>
      <w:pPr>
        <w:shd w:val="clear" w:color="auto" w:fill="FFFFFF"/>
        <w:suppressAutoHyphens/>
        <w:autoSpaceDE w:val="0"/>
        <w:autoSpaceDN w:val="0"/>
        <w:adjustRightInd w:val="0"/>
        <w:spacing w:after="120" w:line="240" w:lineRule="auto"/>
        <w:ind w:left="1287"/>
        <w:contextualSpacing/>
        <w:jc w:val="center"/>
        <w:rPr>
          <w:rFonts w:ascii="Times New Roman" w:hAnsi="Times New Roman" w:eastAsia="Times New Roman" w:cs="Times New Roman"/>
          <w:b/>
          <w:sz w:val="24"/>
          <w:szCs w:val="24"/>
          <w:lang w:eastAsia="ar-SA"/>
        </w:rPr>
      </w:pPr>
    </w:p>
    <w:p>
      <w:pPr>
        <w:shd w:val="clear" w:color="auto" w:fill="FFFFFF"/>
        <w:suppressAutoHyphens/>
        <w:autoSpaceDE w:val="0"/>
        <w:autoSpaceDN w:val="0"/>
        <w:adjustRightInd w:val="0"/>
        <w:spacing w:after="120" w:line="240" w:lineRule="auto"/>
        <w:ind w:left="1287"/>
        <w:contextualSpacing/>
        <w:jc w:val="center"/>
        <w:rPr>
          <w:rFonts w:ascii="Times New Roman" w:hAnsi="Times New Roman" w:eastAsia="Times New Roman" w:cs="Times New Roman"/>
          <w:b/>
          <w:sz w:val="24"/>
          <w:szCs w:val="24"/>
          <w:lang w:eastAsia="ar-SA"/>
        </w:rPr>
      </w:pPr>
    </w:p>
    <w:p>
      <w:pPr>
        <w:shd w:val="clear" w:color="auto" w:fill="FFFFFF"/>
        <w:suppressAutoHyphens/>
        <w:autoSpaceDE w:val="0"/>
        <w:autoSpaceDN w:val="0"/>
        <w:adjustRightInd w:val="0"/>
        <w:spacing w:after="120" w:line="240" w:lineRule="auto"/>
        <w:ind w:left="1287"/>
        <w:contextualSpacing/>
        <w:jc w:val="center"/>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2.7. ТРАНСПОРТНАЯ ИНФРАСТРУКТУРА</w:t>
      </w:r>
    </w:p>
    <w:p>
      <w:pPr>
        <w:tabs>
          <w:tab w:val="left" w:pos="900"/>
        </w:tabs>
        <w:spacing w:line="240" w:lineRule="auto"/>
        <w:ind w:firstLine="567"/>
        <w:jc w:val="both"/>
        <w:rPr>
          <w:rFonts w:ascii="Times New Roman" w:hAnsi="Times New Roman" w:eastAsia="Times New Roman" w:cs="Times New Roman"/>
          <w:sz w:val="24"/>
          <w:szCs w:val="24"/>
          <w:lang w:eastAsia="ru-RU"/>
        </w:rPr>
      </w:pPr>
    </w:p>
    <w:p>
      <w:pPr>
        <w:tabs>
          <w:tab w:val="left" w:pos="900"/>
        </w:tabs>
        <w:spacing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Необходимым условием жизнедеятельности экономического комплекса и социальной сферы является эффективное функционирование транспортной инфраструктуры.</w:t>
      </w:r>
    </w:p>
    <w:p>
      <w:pPr>
        <w:tabs>
          <w:tab w:val="left" w:pos="900"/>
        </w:tabs>
        <w:spacing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транспортной системы является одним из условий повышения уровня жизни и социально-экономического развития поселения.</w:t>
      </w:r>
    </w:p>
    <w:p>
      <w:pPr>
        <w:spacing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Рационально организованная и успешно функционирующая транспортная система является гарантом социальной стабильности, как всего района, так и отдельного поселения. Транспортная доступность предоставляет возможность населению пользоваться всеми  жизненно важными услугами, какими являются: образование, культура, медицина и др.</w:t>
      </w:r>
    </w:p>
    <w:p>
      <w:pPr>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ниже следующей таблице представлены сведения  по автомобильным дорогам в Дмитриевском сельском поселении Заволжского муниципального района.</w:t>
      </w:r>
    </w:p>
    <w:tbl>
      <w:tblPr>
        <w:tblStyle w:val="22"/>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1"/>
        <w:gridCol w:w="1560"/>
        <w:gridCol w:w="2139"/>
        <w:gridCol w:w="1080"/>
        <w:gridCol w:w="891"/>
        <w:gridCol w:w="851"/>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09"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п/п</w:t>
            </w:r>
          </w:p>
        </w:tc>
        <w:tc>
          <w:tcPr>
            <w:tcW w:w="1701"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Сведения о собственнике, владельце автомобильной дороги</w:t>
            </w:r>
          </w:p>
        </w:tc>
        <w:tc>
          <w:tcPr>
            <w:tcW w:w="1560"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Наименование</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автомоб. дороги</w:t>
            </w:r>
          </w:p>
          <w:p>
            <w:pPr>
              <w:spacing w:after="0"/>
              <w:rPr>
                <w:rFonts w:ascii="Times New Roman" w:hAnsi="Times New Roman" w:eastAsia="Times New Roman" w:cs="Times New Roman"/>
                <w:sz w:val="20"/>
                <w:szCs w:val="20"/>
                <w:lang w:eastAsia="ru-RU"/>
              </w:rPr>
            </w:pPr>
          </w:p>
          <w:p>
            <w:pPr>
              <w:spacing w:after="0"/>
              <w:rPr>
                <w:rFonts w:ascii="Times New Roman" w:hAnsi="Times New Roman" w:eastAsia="Times New Roman" w:cs="Times New Roman"/>
                <w:sz w:val="20"/>
                <w:szCs w:val="20"/>
                <w:lang w:eastAsia="ru-RU"/>
              </w:rPr>
            </w:pPr>
          </w:p>
        </w:tc>
        <w:tc>
          <w:tcPr>
            <w:tcW w:w="2139"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Идентификац.</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номер дороги</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Протяженавтомоб. </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дороги</w:t>
            </w:r>
          </w:p>
        </w:tc>
        <w:tc>
          <w:tcPr>
            <w:tcW w:w="1742" w:type="dxa"/>
            <w:gridSpan w:val="2"/>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Сведения о соответствии автомобильной дороги  тех.характ.и категория автодороги </w:t>
            </w:r>
          </w:p>
          <w:p>
            <w:pPr>
              <w:spacing w:after="0"/>
              <w:rPr>
                <w:rFonts w:ascii="Times New Roman" w:hAnsi="Times New Roman" w:eastAsia="Times New Roman" w:cs="Times New Roman"/>
                <w:sz w:val="20"/>
                <w:szCs w:val="20"/>
                <w:lang w:eastAsia="ru-RU"/>
              </w:rPr>
            </w:pPr>
          </w:p>
        </w:tc>
        <w:tc>
          <w:tcPr>
            <w:tcW w:w="709"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Вид</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раз-</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реш.</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исп.</w:t>
            </w:r>
          </w:p>
        </w:tc>
        <w:tc>
          <w:tcPr>
            <w:tcW w:w="850"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Иные</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свед.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709" w:type="dxa"/>
            <w:vMerge w:val="continue"/>
          </w:tcPr>
          <w:p>
            <w:pPr>
              <w:spacing w:after="0"/>
              <w:rPr>
                <w:rFonts w:ascii="Times New Roman" w:hAnsi="Times New Roman" w:eastAsia="Times New Roman" w:cs="Times New Roman"/>
                <w:sz w:val="20"/>
                <w:szCs w:val="20"/>
                <w:lang w:eastAsia="ru-RU"/>
              </w:rPr>
            </w:pP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vMerge w:val="continue"/>
          </w:tcPr>
          <w:p>
            <w:pPr>
              <w:spacing w:after="0"/>
              <w:rPr>
                <w:rFonts w:ascii="Times New Roman" w:hAnsi="Times New Roman" w:eastAsia="Times New Roman" w:cs="Times New Roman"/>
                <w:sz w:val="20"/>
                <w:szCs w:val="20"/>
                <w:lang w:eastAsia="ru-RU"/>
              </w:rPr>
            </w:pPr>
          </w:p>
        </w:tc>
        <w:tc>
          <w:tcPr>
            <w:tcW w:w="2139" w:type="dxa"/>
            <w:vMerge w:val="continue"/>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В границ.</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зоны</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содер.</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класс</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дороги</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катег.</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дороги</w:t>
            </w:r>
          </w:p>
        </w:tc>
        <w:tc>
          <w:tcPr>
            <w:tcW w:w="709" w:type="dxa"/>
            <w:vMerge w:val="continue"/>
          </w:tcPr>
          <w:p>
            <w:pPr>
              <w:spacing w:after="0"/>
              <w:rPr>
                <w:rFonts w:ascii="Times New Roman" w:hAnsi="Times New Roman" w:eastAsia="Times New Roman" w:cs="Times New Roman"/>
                <w:sz w:val="20"/>
                <w:szCs w:val="20"/>
                <w:lang w:eastAsia="ru-RU"/>
              </w:rPr>
            </w:pPr>
          </w:p>
        </w:tc>
        <w:tc>
          <w:tcPr>
            <w:tcW w:w="850" w:type="dxa"/>
            <w:vMerge w:val="continue"/>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701"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560"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2139"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1080"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891"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851"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7</w:t>
            </w:r>
          </w:p>
        </w:tc>
        <w:tc>
          <w:tcPr>
            <w:tcW w:w="709"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850" w:type="dxa"/>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муниципальное</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образование</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«Дмитриевское сельское  поселениеие»</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Заволжского </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Муниципального</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района </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Ивановской</w:t>
            </w: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области</w:t>
            </w:r>
          </w:p>
        </w:tc>
        <w:tc>
          <w:tcPr>
            <w:tcW w:w="1560" w:type="dxa"/>
          </w:tcPr>
          <w:p>
            <w:pPr>
              <w:spacing w:after="0"/>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 Колшево</w:t>
            </w: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p>
        </w:tc>
        <w:tc>
          <w:tcPr>
            <w:tcW w:w="891" w:type="dxa"/>
          </w:tcPr>
          <w:p>
            <w:pPr>
              <w:spacing w:after="0"/>
              <w:rPr>
                <w:rFonts w:ascii="Times New Roman" w:hAnsi="Times New Roman" w:eastAsia="Times New Roman" w:cs="Times New Roman"/>
                <w:sz w:val="20"/>
                <w:szCs w:val="20"/>
                <w:lang w:eastAsia="ru-RU"/>
              </w:rPr>
            </w:pPr>
          </w:p>
        </w:tc>
        <w:tc>
          <w:tcPr>
            <w:tcW w:w="851" w:type="dxa"/>
            <w:vMerge w:val="restart"/>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Улицы в жилой застройке</w:t>
            </w: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П.Ф, Соболева</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24 205 824 ОП МП 001</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0.40</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ул. Набережная </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002</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0.18</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Молодёжная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003</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Зелёная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004</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Цветочная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005</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0.42</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Спортивная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006</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0.26</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7</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Заречная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007</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0.25</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д. Корнилово</w:t>
            </w: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p>
        </w:tc>
        <w:tc>
          <w:tcPr>
            <w:tcW w:w="891" w:type="dxa"/>
          </w:tcPr>
          <w:p>
            <w:pPr>
              <w:spacing w:after="0"/>
              <w:rPr>
                <w:rFonts w:ascii="Times New Roman" w:hAnsi="Times New Roman" w:eastAsia="Times New Roman" w:cs="Times New Roman"/>
                <w:sz w:val="20"/>
                <w:szCs w:val="20"/>
                <w:lang w:eastAsia="ru-RU"/>
              </w:rPr>
            </w:pP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Школьная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008</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0.7</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Центральная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009</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Зелёная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010</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0.35</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11</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Молодёжная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011</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0.15</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Рабочая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012</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13</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Лесная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013</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0.30</w:t>
            </w:r>
          </w:p>
        </w:tc>
        <w:tc>
          <w:tcPr>
            <w:tcW w:w="89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д. Федосцыно</w:t>
            </w: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p>
        </w:tc>
        <w:tc>
          <w:tcPr>
            <w:tcW w:w="891" w:type="dxa"/>
          </w:tcPr>
          <w:p>
            <w:pPr>
              <w:spacing w:after="0"/>
              <w:rPr>
                <w:rFonts w:ascii="Times New Roman" w:hAnsi="Times New Roman" w:eastAsia="Times New Roman" w:cs="Times New Roman"/>
                <w:sz w:val="20"/>
                <w:szCs w:val="20"/>
                <w:lang w:eastAsia="ru-RU"/>
              </w:rPr>
            </w:pP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14</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Почтовая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014</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15</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Центральная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015</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16</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пер. Центральный</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016</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17</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Полевая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017</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0.15</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 Кистега</w:t>
            </w: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p>
        </w:tc>
        <w:tc>
          <w:tcPr>
            <w:tcW w:w="891" w:type="dxa"/>
          </w:tcPr>
          <w:p>
            <w:pPr>
              <w:spacing w:after="0"/>
              <w:rPr>
                <w:rFonts w:ascii="Times New Roman" w:hAnsi="Times New Roman" w:eastAsia="Times New Roman" w:cs="Times New Roman"/>
                <w:sz w:val="20"/>
                <w:szCs w:val="20"/>
                <w:em w:val="dot"/>
                <w:lang w:eastAsia="ru-RU"/>
              </w:rPr>
            </w:pP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18</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ул. Лесная</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018</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sz w:val="20"/>
                <w:szCs w:val="20"/>
                <w:lang w:eastAsia="ru-RU"/>
              </w:rPr>
            </w:pPr>
          </w:p>
        </w:tc>
        <w:tc>
          <w:tcPr>
            <w:tcW w:w="891" w:type="dxa"/>
          </w:tcPr>
          <w:p>
            <w:pPr>
              <w:spacing w:after="0"/>
              <w:rPr>
                <w:rFonts w:ascii="Times New Roman" w:hAnsi="Times New Roman" w:eastAsia="Times New Roman" w:cs="Times New Roman"/>
                <w:sz w:val="20"/>
                <w:szCs w:val="20"/>
                <w:em w:val="dot"/>
                <w:lang w:eastAsia="ru-RU"/>
              </w:rPr>
            </w:pPr>
          </w:p>
        </w:tc>
        <w:tc>
          <w:tcPr>
            <w:tcW w:w="851" w:type="dxa"/>
            <w:vMerge w:val="continue"/>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19</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Вострово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019</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20</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Белоногово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020</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21</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Голочёлово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021</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0.35</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22</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Крапивки</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022</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23</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Сокерино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023</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Деревнище</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024</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0.26</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25</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Лобаново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025</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0.46</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26</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М. Шишкино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026</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27</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Михальцево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027</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0.7</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28</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д.Б.Шишкино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028</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29</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Нянькино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029</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0.35</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30</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Безносово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030</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0.20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31</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Горянцево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031</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0.15</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32</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Лыково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032</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0.44</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33</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Поделово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033</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0.36</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34</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Ямново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034</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35</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Ивашево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035</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36</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д.Широково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0.36</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37</w:t>
            </w:r>
          </w:p>
        </w:tc>
        <w:tc>
          <w:tcPr>
            <w:tcW w:w="1701" w:type="dxa"/>
            <w:vMerge w:val="continue"/>
          </w:tcPr>
          <w:p>
            <w:pPr>
              <w:spacing w:after="0"/>
              <w:rPr>
                <w:rFonts w:ascii="Times New Roman" w:hAnsi="Times New Roman" w:eastAsia="Times New Roman" w:cs="Times New Roman"/>
                <w:sz w:val="20"/>
                <w:szCs w:val="20"/>
                <w:lang w:eastAsia="ru-RU"/>
              </w:rPr>
            </w:pPr>
          </w:p>
        </w:tc>
        <w:tc>
          <w:tcPr>
            <w:tcW w:w="156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 д. Узорокино</w:t>
            </w:r>
          </w:p>
        </w:tc>
        <w:tc>
          <w:tcPr>
            <w:tcW w:w="213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24 205 824 ОП МП 037</w:t>
            </w:r>
          </w:p>
        </w:tc>
        <w:tc>
          <w:tcPr>
            <w:tcW w:w="1080"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0.30</w:t>
            </w:r>
          </w:p>
        </w:tc>
        <w:tc>
          <w:tcPr>
            <w:tcW w:w="891" w:type="dxa"/>
          </w:tcPr>
          <w:p>
            <w:pPr>
              <w:spacing w:after="0"/>
              <w:rPr>
                <w:rFonts w:ascii="Times New Roman" w:hAnsi="Times New Roman" w:eastAsia="Times New Roman" w:cs="Times New Roman"/>
                <w:sz w:val="20"/>
                <w:szCs w:val="20"/>
                <w:em w:val="dot"/>
                <w:lang w:eastAsia="ru-RU"/>
              </w:rPr>
            </w:pPr>
            <w:r>
              <w:rPr>
                <w:rFonts w:ascii="Times New Roman" w:hAnsi="Times New Roman" w:eastAsia="Times New Roman" w:cs="Times New Roman"/>
                <w:sz w:val="20"/>
                <w:szCs w:val="20"/>
                <w:em w:val="dot"/>
                <w:lang w:eastAsia="ru-RU"/>
              </w:rPr>
              <w:t>3</w:t>
            </w:r>
          </w:p>
        </w:tc>
        <w:tc>
          <w:tcPr>
            <w:tcW w:w="85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709"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ОП</w:t>
            </w:r>
          </w:p>
        </w:tc>
        <w:tc>
          <w:tcPr>
            <w:tcW w:w="850" w:type="dxa"/>
          </w:tcPr>
          <w:p>
            <w:pPr>
              <w:spacing w:after="0"/>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Pr>
          <w:p>
            <w:pPr>
              <w:spacing w:after="0"/>
              <w:rPr>
                <w:rFonts w:ascii="Times New Roman" w:hAnsi="Times New Roman" w:eastAsia="Times New Roman" w:cs="Times New Roman"/>
                <w:sz w:val="20"/>
                <w:szCs w:val="20"/>
                <w:lang w:eastAsia="ru-RU"/>
              </w:rPr>
            </w:pPr>
          </w:p>
        </w:tc>
        <w:tc>
          <w:tcPr>
            <w:tcW w:w="1701" w:type="dxa"/>
          </w:tcPr>
          <w:p>
            <w:pPr>
              <w:spacing w:after="0"/>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Итого:</w:t>
            </w:r>
          </w:p>
        </w:tc>
        <w:tc>
          <w:tcPr>
            <w:tcW w:w="1560" w:type="dxa"/>
          </w:tcPr>
          <w:p>
            <w:pPr>
              <w:spacing w:after="0"/>
              <w:rPr>
                <w:rFonts w:ascii="Times New Roman" w:hAnsi="Times New Roman" w:eastAsia="Times New Roman" w:cs="Times New Roman"/>
                <w:sz w:val="20"/>
                <w:szCs w:val="20"/>
                <w:lang w:eastAsia="ru-RU"/>
              </w:rPr>
            </w:pPr>
          </w:p>
        </w:tc>
        <w:tc>
          <w:tcPr>
            <w:tcW w:w="2139" w:type="dxa"/>
          </w:tcPr>
          <w:p>
            <w:pPr>
              <w:spacing w:after="0"/>
              <w:rPr>
                <w:rFonts w:ascii="Times New Roman" w:hAnsi="Times New Roman" w:eastAsia="Times New Roman" w:cs="Times New Roman"/>
                <w:sz w:val="20"/>
                <w:szCs w:val="20"/>
                <w:lang w:eastAsia="ru-RU"/>
              </w:rPr>
            </w:pPr>
          </w:p>
        </w:tc>
        <w:tc>
          <w:tcPr>
            <w:tcW w:w="1080" w:type="dxa"/>
          </w:tcPr>
          <w:p>
            <w:pPr>
              <w:spacing w:after="0"/>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13,63</w:t>
            </w:r>
          </w:p>
        </w:tc>
        <w:tc>
          <w:tcPr>
            <w:tcW w:w="891" w:type="dxa"/>
          </w:tcPr>
          <w:p>
            <w:pPr>
              <w:spacing w:after="0"/>
              <w:rPr>
                <w:rFonts w:ascii="Times New Roman" w:hAnsi="Times New Roman" w:eastAsia="Times New Roman" w:cs="Times New Roman"/>
                <w:sz w:val="20"/>
                <w:szCs w:val="20"/>
                <w:em w:val="dot"/>
                <w:lang w:eastAsia="ru-RU"/>
              </w:rPr>
            </w:pPr>
          </w:p>
        </w:tc>
        <w:tc>
          <w:tcPr>
            <w:tcW w:w="851" w:type="dxa"/>
          </w:tcPr>
          <w:p>
            <w:pPr>
              <w:spacing w:after="0"/>
              <w:rPr>
                <w:rFonts w:ascii="Times New Roman" w:hAnsi="Times New Roman" w:eastAsia="Times New Roman" w:cs="Times New Roman"/>
                <w:sz w:val="20"/>
                <w:szCs w:val="20"/>
                <w:lang w:eastAsia="ru-RU"/>
              </w:rPr>
            </w:pPr>
          </w:p>
        </w:tc>
        <w:tc>
          <w:tcPr>
            <w:tcW w:w="709" w:type="dxa"/>
          </w:tcPr>
          <w:p>
            <w:pPr>
              <w:spacing w:after="0"/>
              <w:rPr>
                <w:rFonts w:ascii="Times New Roman" w:hAnsi="Times New Roman" w:eastAsia="Times New Roman" w:cs="Times New Roman"/>
                <w:sz w:val="20"/>
                <w:szCs w:val="20"/>
                <w:lang w:eastAsia="ru-RU"/>
              </w:rPr>
            </w:pPr>
          </w:p>
        </w:tc>
        <w:tc>
          <w:tcPr>
            <w:tcW w:w="850" w:type="dxa"/>
          </w:tcPr>
          <w:p>
            <w:pPr>
              <w:spacing w:after="0"/>
              <w:rPr>
                <w:rFonts w:ascii="Times New Roman" w:hAnsi="Times New Roman" w:eastAsia="Times New Roman" w:cs="Times New Roman"/>
                <w:sz w:val="20"/>
                <w:szCs w:val="20"/>
                <w:lang w:eastAsia="ru-RU"/>
              </w:rPr>
            </w:pPr>
          </w:p>
        </w:tc>
      </w:tr>
    </w:tbl>
    <w:p>
      <w:pPr>
        <w:rPr>
          <w:rFonts w:ascii="Calibri" w:hAnsi="Calibri" w:eastAsia="Times New Roman" w:cs="Times New Roman"/>
          <w:b/>
          <w:lang w:eastAsia="ru-RU"/>
        </w:rPr>
      </w:pPr>
    </w:p>
    <w:tbl>
      <w:tblPr>
        <w:tblStyle w:val="22"/>
        <w:tblW w:w="7817"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536"/>
        <w:gridCol w:w="95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между населёнными пунктами</w:t>
            </w:r>
          </w:p>
        </w:tc>
        <w:tc>
          <w:tcPr>
            <w:tcW w:w="95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д.Сокерино-д.Деревнище</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1.4</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с.Колшево-д.Деревнище</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1.1</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д.Михальцево-д.б.Шишкино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д.б.Шишкино-д.м.Шишкино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с.Колшево-д.м.Шишкино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0.8</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подъезд  д. Нянькино </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7</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Нянькино – д. Безносово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8</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 – МТФ СПК «Колшево»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1.8</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 Колшево – д. Лобаново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0.7</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Безносово – д. Горянцево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0.7</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11</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Горянцево – д. Лыково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1.6</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Лыково – д. Поделово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13</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Поделово – д. Ямново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14</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подъезд д. Ямново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3.1</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от д. Князево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15</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Князево – д. Ивашево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1.2</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16</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Ивашево – д. Широково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5.3</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17</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 Ивашево – д. Узорокино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1.3</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18</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подъезд д. Вострово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19</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подъезд д. Голочёлово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0.35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20</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подъезд д. Крапивки</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0.4</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21</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д.Корнилово-д.Вострово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1.5</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22</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д.Корнилово-д.Крапивки</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23</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д.Корнилово-д.Федосцыно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6.7</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д.Федосцыно-д.Крапивки</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2.9</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25</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с.Колшево-д.Корнилово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20.0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26</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с.Колшево-д.Федосцыно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25.0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27</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с.Колшево-д.Крапивки</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28.0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28</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с.Колшево-д.Вьюшково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17.0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29</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с.Колшево-д.Вострово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20.0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30</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д.Чуприяново-д.Вьюшково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31</w:t>
            </w:r>
          </w:p>
        </w:tc>
        <w:tc>
          <w:tcPr>
            <w:tcW w:w="4536"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с.Колшево-д.Чуприяново</w:t>
            </w:r>
          </w:p>
        </w:tc>
        <w:tc>
          <w:tcPr>
            <w:tcW w:w="951" w:type="dxa"/>
            <w:tcBorders>
              <w:top w:val="single" w:color="auto" w:sz="4" w:space="0"/>
              <w:left w:val="single" w:color="auto" w:sz="4" w:space="0"/>
              <w:bottom w:val="single" w:color="auto" w:sz="4" w:space="0"/>
              <w:right w:val="single" w:color="auto" w:sz="4" w:space="0"/>
            </w:tcBorders>
          </w:tcPr>
          <w:p>
            <w:pPr>
              <w:spacing w:after="0"/>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16.0</w:t>
            </w:r>
          </w:p>
        </w:tc>
        <w:tc>
          <w:tcPr>
            <w:tcW w:w="1621" w:type="dxa"/>
            <w:tcBorders>
              <w:top w:val="single" w:color="auto" w:sz="4" w:space="0"/>
              <w:left w:val="single" w:color="auto" w:sz="4" w:space="0"/>
              <w:bottom w:val="single" w:color="auto" w:sz="4" w:space="0"/>
              <w:right w:val="single" w:color="auto" w:sz="4" w:space="0"/>
            </w:tcBorders>
          </w:tcPr>
          <w:p>
            <w:pPr>
              <w:spacing w:after="0"/>
              <w:jc w:val="both"/>
              <w:rPr>
                <w:rFonts w:ascii="Times New Roman" w:hAnsi="Times New Roman" w:eastAsia="Times New Roman" w:cs="Times New Roman"/>
                <w:sz w:val="20"/>
                <w:szCs w:val="20"/>
                <w:lang w:eastAsia="ru-RU"/>
              </w:rPr>
            </w:pPr>
          </w:p>
        </w:tc>
      </w:tr>
    </w:tbl>
    <w:p>
      <w:pPr>
        <w:jc w:val="both"/>
        <w:rPr>
          <w:rFonts w:ascii="Calibri" w:hAnsi="Calibri" w:eastAsia="Times New Roman" w:cs="Times New Roman"/>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Общая протяженность  автомобильных дорог 96 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т.ч. в асфальтовом исполнении 32 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твердом (щебень) 6км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грунт 58 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Состояние грунтовых дорог между населенными пунктами удовлетворительное , асфальтовое  покрытие  требует капитального ремонта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Населенные пункты не обеспеченные подъездными дорогами: д.Лыково , д.Поделово, д.Ямново , д.Вострово, д.Голочёлово.</w:t>
      </w:r>
    </w:p>
    <w:p>
      <w:pPr>
        <w:jc w:val="both"/>
        <w:rPr>
          <w:rFonts w:ascii="Calibri" w:hAnsi="Calibri" w:eastAsia="Times New Roman" w:cs="Times New Roman"/>
          <w:lang w:eastAsia="ru-RU"/>
        </w:rPr>
      </w:pPr>
    </w:p>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Маршрутная сеть пассажироперевозок</w:t>
      </w:r>
    </w:p>
    <w:p>
      <w:pPr>
        <w:spacing w:after="0"/>
        <w:jc w:val="center"/>
        <w:rPr>
          <w:rFonts w:ascii="Times New Roman" w:hAnsi="Times New Roman" w:eastAsia="Times New Roman" w:cs="Times New Roman"/>
          <w:b/>
          <w:sz w:val="20"/>
          <w:szCs w:val="20"/>
          <w:u w:val="single"/>
          <w:lang w:eastAsia="ru-RU"/>
        </w:rPr>
      </w:pPr>
    </w:p>
    <w:tbl>
      <w:tblPr>
        <w:tblStyle w:val="22"/>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3341"/>
        <w:gridCol w:w="1911"/>
        <w:gridCol w:w="1902"/>
        <w:gridCol w:w="1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514"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п/п</w:t>
            </w:r>
          </w:p>
        </w:tc>
        <w:tc>
          <w:tcPr>
            <w:tcW w:w="3341"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Наименование маршрута</w:t>
            </w:r>
          </w:p>
        </w:tc>
        <w:tc>
          <w:tcPr>
            <w:tcW w:w="1911" w:type="dxa"/>
            <w:vMerge w:val="restart"/>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Протяженность</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маршрута</w:t>
            </w:r>
          </w:p>
        </w:tc>
        <w:tc>
          <w:tcPr>
            <w:tcW w:w="3805" w:type="dxa"/>
            <w:gridSpan w:val="2"/>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Количество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514" w:type="dxa"/>
            <w:vMerge w:val="continue"/>
          </w:tcPr>
          <w:p>
            <w:pPr>
              <w:spacing w:after="0"/>
              <w:jc w:val="center"/>
              <w:rPr>
                <w:rFonts w:ascii="Times New Roman" w:hAnsi="Times New Roman" w:eastAsia="Times New Roman" w:cs="Times New Roman"/>
                <w:lang w:eastAsia="ru-RU"/>
              </w:rPr>
            </w:pPr>
          </w:p>
        </w:tc>
        <w:tc>
          <w:tcPr>
            <w:tcW w:w="3341" w:type="dxa"/>
            <w:vMerge w:val="continue"/>
          </w:tcPr>
          <w:p>
            <w:pPr>
              <w:spacing w:after="0"/>
              <w:jc w:val="center"/>
              <w:rPr>
                <w:rFonts w:ascii="Times New Roman" w:hAnsi="Times New Roman" w:eastAsia="Times New Roman" w:cs="Times New Roman"/>
                <w:lang w:eastAsia="ru-RU"/>
              </w:rPr>
            </w:pPr>
          </w:p>
        </w:tc>
        <w:tc>
          <w:tcPr>
            <w:tcW w:w="1911" w:type="dxa"/>
            <w:vMerge w:val="continue"/>
          </w:tcPr>
          <w:p>
            <w:pPr>
              <w:spacing w:after="0"/>
              <w:jc w:val="center"/>
              <w:rPr>
                <w:rFonts w:ascii="Times New Roman" w:hAnsi="Times New Roman" w:eastAsia="Times New Roman" w:cs="Times New Roman"/>
                <w:lang w:eastAsia="ru-RU"/>
              </w:rPr>
            </w:pPr>
          </w:p>
        </w:tc>
        <w:tc>
          <w:tcPr>
            <w:tcW w:w="1902"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рейсов</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день</w:t>
            </w:r>
          </w:p>
        </w:tc>
        <w:tc>
          <w:tcPr>
            <w:tcW w:w="190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дней </w:t>
            </w:r>
          </w:p>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 неделю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71" w:type="dxa"/>
            <w:gridSpan w:val="5"/>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Внутримуниципальные  маршруты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4" w:type="dxa"/>
          </w:tcPr>
          <w:p>
            <w:pPr>
              <w:spacing w:after="0"/>
              <w:jc w:val="center"/>
              <w:rPr>
                <w:rFonts w:ascii="Times New Roman" w:hAnsi="Times New Roman" w:eastAsia="Times New Roman" w:cs="Times New Roman"/>
                <w:lang w:eastAsia="ru-RU"/>
              </w:rPr>
            </w:pPr>
          </w:p>
        </w:tc>
        <w:tc>
          <w:tcPr>
            <w:tcW w:w="334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Колшево-Федосцыно-Заволжск</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59.0</w:t>
            </w:r>
          </w:p>
        </w:tc>
        <w:tc>
          <w:tcPr>
            <w:tcW w:w="1902"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1</w:t>
            </w:r>
          </w:p>
        </w:tc>
        <w:tc>
          <w:tcPr>
            <w:tcW w:w="190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71" w:type="dxa"/>
            <w:gridSpan w:val="5"/>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Междугородние маршруты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14" w:type="dxa"/>
          </w:tcPr>
          <w:p>
            <w:pPr>
              <w:spacing w:after="0"/>
              <w:jc w:val="center"/>
              <w:rPr>
                <w:rFonts w:ascii="Times New Roman" w:hAnsi="Times New Roman" w:eastAsia="Times New Roman" w:cs="Times New Roman"/>
                <w:lang w:eastAsia="ru-RU"/>
              </w:rPr>
            </w:pPr>
          </w:p>
        </w:tc>
        <w:tc>
          <w:tcPr>
            <w:tcW w:w="334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Колшево-Заволжск-Кинешма</w:t>
            </w:r>
          </w:p>
        </w:tc>
        <w:tc>
          <w:tcPr>
            <w:tcW w:w="1911"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63.0</w:t>
            </w:r>
          </w:p>
        </w:tc>
        <w:tc>
          <w:tcPr>
            <w:tcW w:w="1902"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2</w:t>
            </w:r>
          </w:p>
        </w:tc>
        <w:tc>
          <w:tcPr>
            <w:tcW w:w="1903" w:type="dxa"/>
          </w:tcPr>
          <w:p>
            <w:pPr>
              <w:spacing w:after="0"/>
              <w:jc w:val="center"/>
              <w:rPr>
                <w:rFonts w:ascii="Times New Roman" w:hAnsi="Times New Roman" w:eastAsia="Times New Roman" w:cs="Times New Roman"/>
                <w:lang w:eastAsia="ru-RU"/>
              </w:rPr>
            </w:pPr>
            <w:r>
              <w:rPr>
                <w:rFonts w:ascii="Times New Roman" w:hAnsi="Times New Roman" w:eastAsia="Times New Roman" w:cs="Times New Roman"/>
                <w:lang w:eastAsia="ru-RU"/>
              </w:rPr>
              <w:t>7</w:t>
            </w:r>
          </w:p>
        </w:tc>
      </w:tr>
    </w:tbl>
    <w:p>
      <w:pPr>
        <w:shd w:val="clear" w:color="auto" w:fill="FFFFFF"/>
        <w:autoSpaceDE w:val="0"/>
        <w:autoSpaceDN w:val="0"/>
        <w:adjustRightInd w:val="0"/>
        <w:ind w:right="741" w:firstLine="720"/>
        <w:jc w:val="center"/>
        <w:rPr>
          <w:rFonts w:ascii="Times New Roman" w:hAnsi="Times New Roman" w:eastAsia="Times New Roman" w:cs="Times New Roman"/>
          <w:b/>
          <w:sz w:val="24"/>
          <w:szCs w:val="24"/>
          <w:lang w:eastAsia="ru-RU"/>
        </w:rPr>
      </w:pPr>
    </w:p>
    <w:p>
      <w:pPr>
        <w:shd w:val="clear" w:color="auto" w:fill="FFFFFF"/>
        <w:autoSpaceDE w:val="0"/>
        <w:autoSpaceDN w:val="0"/>
        <w:adjustRightInd w:val="0"/>
        <w:ind w:right="741" w:firstLine="72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2.8. ИНЖЕНЕРНАЯ ИНФРАСТРУКТУРА</w:t>
      </w:r>
    </w:p>
    <w:p>
      <w:pPr>
        <w:shd w:val="clear" w:color="auto" w:fill="FFFFFF"/>
        <w:autoSpaceDE w:val="0"/>
        <w:autoSpaceDN w:val="0"/>
        <w:adjustRightInd w:val="0"/>
        <w:spacing w:after="40"/>
        <w:ind w:right="743" w:firstLine="709"/>
        <w:rPr>
          <w:rFonts w:ascii="Times New Roman" w:hAnsi="Times New Roman" w:eastAsia="Times New Roman" w:cs="Times New Roman"/>
          <w:b/>
          <w:sz w:val="24"/>
          <w:szCs w:val="24"/>
          <w:lang w:eastAsia="ru-RU"/>
        </w:rPr>
      </w:pPr>
    </w:p>
    <w:p>
      <w:pPr>
        <w:shd w:val="clear" w:color="auto" w:fill="FFFFFF"/>
        <w:autoSpaceDE w:val="0"/>
        <w:autoSpaceDN w:val="0"/>
        <w:adjustRightInd w:val="0"/>
        <w:spacing w:after="40"/>
        <w:ind w:right="743"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2.8.1.  ВОДОСНАБЖЕНИЕ И ВОДООТВЕДЕНИЕ</w:t>
      </w:r>
    </w:p>
    <w:p>
      <w:pPr>
        <w:shd w:val="clear" w:color="auto" w:fill="FFFFFF"/>
        <w:autoSpaceDE w:val="0"/>
        <w:autoSpaceDN w:val="0"/>
        <w:adjustRightInd w:val="0"/>
        <w:spacing w:after="40"/>
        <w:ind w:right="743" w:firstLine="709"/>
        <w:rPr>
          <w:rFonts w:ascii="Times New Roman" w:hAnsi="Times New Roman" w:eastAsia="Times New Roman" w:cs="Times New Roman"/>
          <w:b/>
          <w:sz w:val="24"/>
          <w:szCs w:val="24"/>
          <w:lang w:eastAsia="ru-RU"/>
        </w:rPr>
      </w:pP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Водоснабжение населенных пунктов поселения осуществляется за счет подземных вод, посредством артезианских скважин, колодцев, родников.</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Централизованная система водоснабжения имеется в с. Колшево, д. Корнилово, д. Федосцыно. В остальных населенных пунктах используются шахтные колодцы и родники.</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На центральной усадьбе в с. Колшево имеются 2 скважины, водонакопительная башня и  каптаж. Скважины не работают, т.к каптаж полностью обеспечивает водой.</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Имеются водопроводные  сети   протяженностью 7,2 км, в т.ч. 2,2 км  водопроводных сетей введены в эксплуатацию в 2009 году. Остальная часть сетей требует ремонта и  частичной замены. Установлены 10 колонок.</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Централизованно обеспечиваются водой 54 жилых дома - 235 человек и 6 социально значимых объекта.</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Также в с. Колшево имеются 2 колодца, (1 из них требует капитального ремонта) и  3 родника.</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Канализация отсутствует, используются система водоотведения и выгребные ямы.</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д. Корнилово  имеется 1 скважина, водопроводные сети протяженностью 3,3 км, износ которых составляет 89%. Требуется капитальный ремонт. Установлено 6 колонок.</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Централизованно обеспечены водой 30 жилых домов и 4 социально значимых объекта.</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 Корнилово имеется 2 колодца и 1 родник.</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 Федосцыно имеется 1 скважина, водопроводные сети протяженностью 3 км состояние сетей удовлетворительное, требуется текущий ремонт. Установлено 7 колонок.</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Централизованно обеспечены водой 24 жилых дома и 2 социально значимых объекта.</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 Федосцыно имеется 2 колодца и 1 родник.</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Канализация отсутствует в д. Корнилово и д. Федосцыно отсутствует, используется система водоотведения и выгребные ямы.</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Населенные пункты, где используют шахтные колодцы и родники:</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 Лыково – 1 колодец; д. Поделово- 1 колодец; д. Ямново – 1 колодец; д. Князево – 1 колодец и 1 родник; д. Ивашево – 3 колодца; д. Голочелово- 2 колодца; с. Кистега – 2 колодца; д. Вьюшково- 1 колодец; д. Вострово – 1 колодец; д. Крапивки – 1 колодец.</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населенных пунктах поселения часть жителей имеют  индивидуальные скважины.</w:t>
      </w:r>
    </w:p>
    <w:p>
      <w:pPr>
        <w:rPr>
          <w:rFonts w:ascii="Calibri" w:hAnsi="Calibri" w:eastAsia="Times New Roman" w:cs="Times New Roman"/>
          <w:lang w:eastAsia="ru-RU"/>
        </w:rPr>
      </w:pPr>
    </w:p>
    <w:p>
      <w:pPr>
        <w:autoSpaceDE w:val="0"/>
        <w:autoSpaceDN w:val="0"/>
        <w:adjustRightInd w:val="0"/>
        <w:ind w:firstLine="720"/>
        <w:jc w:val="both"/>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2.8.2. ЭЛЕКТРОСНАБЖЕНИЕ</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Электроснабжение  Дмитриевского сельского поселения осуществляется от Заволжской энергосистемы через подстанцию с.Колшево. Питание п/ст осуществляется во ВЛ 0,4/6/10 кВ. Обслуживающая организация филиал ОАО «Ивэнергосбыт». Протяженность эл. линии 76 км., степень износа 75%.  Трассы ВЛ находятся в удовлетворительном состоянии , опоры  деревянные и железобетонные.</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балансе администрации находится линия электропередач в с. Кистега, протяженностью около 2 км, износ составляет 100 % , требуется строительство новой линии.</w:t>
      </w:r>
    </w:p>
    <w:p>
      <w:pPr>
        <w:spacing w:before="240" w:after="60"/>
        <w:ind w:firstLine="567"/>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2.8.3. СЕТЕВОЕ ГАЗОСНАБЖЕНИЕ</w:t>
      </w:r>
    </w:p>
    <w:p>
      <w:pPr>
        <w:spacing w:before="240" w:line="240" w:lineRule="auto"/>
        <w:ind w:firstLine="567"/>
        <w:jc w:val="both"/>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В настоящее время территория Дмитриевского сельского поселения не газифицирована.</w:t>
      </w:r>
      <w:r>
        <w:rPr>
          <w:rFonts w:ascii="Times New Roman" w:hAnsi="Times New Roman" w:eastAsia="Times New Roman" w:cs="Times New Roman"/>
          <w:bCs/>
          <w:sz w:val="24"/>
          <w:szCs w:val="24"/>
          <w:lang w:eastAsia="ru-RU"/>
        </w:rPr>
        <w:t xml:space="preserve"> Во всех населенных пунктах используется только баллонный газ.</w:t>
      </w:r>
    </w:p>
    <w:p>
      <w:pPr>
        <w:suppressAutoHyphens/>
        <w:spacing w:after="0" w:line="240" w:lineRule="auto"/>
        <w:ind w:left="720"/>
        <w:contextualSpacing/>
        <w:jc w:val="both"/>
        <w:rPr>
          <w:rFonts w:ascii="Times New Roman" w:hAnsi="Times New Roman" w:eastAsia="Times New Roman" w:cs="Times New Roman"/>
          <w:sz w:val="24"/>
          <w:szCs w:val="28"/>
          <w:lang w:eastAsia="ar-SA"/>
        </w:rPr>
      </w:pPr>
    </w:p>
    <w:p>
      <w:pPr>
        <w:suppressAutoHyphens/>
        <w:spacing w:after="0" w:line="240" w:lineRule="auto"/>
        <w:ind w:left="720"/>
        <w:contextualSpacing/>
        <w:jc w:val="both"/>
        <w:rPr>
          <w:rFonts w:ascii="Times New Roman" w:hAnsi="Times New Roman" w:eastAsia="Times New Roman" w:cs="Times New Roman"/>
          <w:sz w:val="24"/>
          <w:szCs w:val="28"/>
          <w:lang w:eastAsia="ar-SA"/>
        </w:rPr>
      </w:pPr>
    </w:p>
    <w:p>
      <w:pPr>
        <w:ind w:firstLine="567"/>
        <w:jc w:val="both"/>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2.8.4. ТЕПЛОСНАБЖЕНИЕ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с. Колшево  функционирует котельная, обслуживает ее Заволжское РМПО ЖКХ. Потребителями теплоэнергии являются учреждения социальной сферы: школа, пришкольный интернат, администрация, почтовое отделение, отделение временного пребывания, ФАП.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Котельная оборудована 3 котлами «Универсал», КВТ-Л-0,63; год ввода в эксплуатацию 1992 ; процент износа 37,96%; мощность 1,0884 Гкл/час ; вид топлива уголь, среднесуточный расход 2, 01 т , протяженность сетей 2,914 км.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Тепловые сети находятся в неудовлетворительном состоянии, требуют капитального ремонта.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Отопление всего жилого фонда поселения печное.</w:t>
      </w:r>
    </w:p>
    <w:p>
      <w:pPr>
        <w:widowControl w:val="0"/>
        <w:ind w:firstLine="426"/>
        <w:jc w:val="both"/>
        <w:rPr>
          <w:rFonts w:ascii="Times New Roman" w:hAnsi="Times New Roman" w:eastAsia="Times New Roman" w:cs="Times New Roman"/>
          <w:sz w:val="24"/>
          <w:szCs w:val="24"/>
          <w:lang w:eastAsia="ru-RU"/>
        </w:rPr>
      </w:pPr>
    </w:p>
    <w:p>
      <w:pPr>
        <w:keepNext/>
        <w:keepLines/>
        <w:spacing w:before="200" w:after="0"/>
        <w:ind w:firstLine="567"/>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2.8.5. СРЕДСТВА СВЯЗИ И КОММУНИКАЦИЙ</w:t>
      </w:r>
    </w:p>
    <w:p>
      <w:pPr>
        <w:jc w:val="both"/>
        <w:rPr>
          <w:rFonts w:ascii="Calibri" w:hAnsi="Calibri" w:eastAsia="Times New Roman" w:cs="Times New Roman"/>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настоящее время в поселении функционирует 1 телефонная станция АТСК, заполнены все номера, желающих установить телефоны 50 человек.</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Степень обеспеченности населения телефонами низкая , емкости существующей АТС не достаточна, поэтому необходимо расширение станции для обеспечения телефонами новых потребителей поселения.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настоящее время в поселении мобильная связь осуществляется  компанией «БиЛайн» и «Мегафон». Качество связи удовлетворительное, вышки на территории поселения отсутствуют («Мегафон» установлен усилитель),  часть отдаленных  населенных пунктов мобильной связью не обеспечены. Выход и сети Интернет осуществляется  через модем, скорость загрузки низкая.</w:t>
      </w:r>
    </w:p>
    <w:p>
      <w:pPr>
        <w:spacing w:after="0"/>
        <w:ind w:firstLine="426"/>
        <w:jc w:val="both"/>
        <w:rPr>
          <w:rFonts w:ascii="Times New Roman" w:hAnsi="Times New Roman" w:eastAsia="Times New Roman" w:cs="Times New Roman"/>
          <w:sz w:val="24"/>
          <w:szCs w:val="24"/>
          <w:lang w:eastAsia="ru-RU"/>
        </w:rPr>
      </w:pPr>
    </w:p>
    <w:p>
      <w:pPr>
        <w:keepNext/>
        <w:keepLines/>
        <w:spacing w:before="200" w:after="0"/>
        <w:ind w:firstLine="709"/>
        <w:outlineLvl w:val="2"/>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2.8.6. ВЫВОЗ МУСОРА И ПОЛИГОНЫ ТБО</w:t>
      </w:r>
    </w:p>
    <w:p>
      <w:pPr>
        <w:spacing w:after="0"/>
        <w:ind w:firstLine="426"/>
        <w:jc w:val="center"/>
        <w:rPr>
          <w:rFonts w:ascii="Times New Roman" w:hAnsi="Times New Roman" w:eastAsia="Times New Roman" w:cs="Times New Roman"/>
          <w:b/>
          <w:bCs/>
          <w:sz w:val="24"/>
          <w:szCs w:val="24"/>
          <w:lang w:eastAsia="ru-RU"/>
        </w:rPr>
      </w:pP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2011 году за счет средств местного бюджета в поселении организована вывозка мусора в с.Колшево от населения на свалку , благоустроены территории парков в с.Колшево и у обелисков в с.Колшево, д.Корнилово, д.Федосцыно, произведена выпилка  10 старых деревьев, угрожающих жизни и здоровью населения, произведена отсыпка дорог внутри поселения в с.Колшево, д.Ивашево, д.Корнилово, д.Федосцыно общей протяженностью 5 км , произведена ликвидация 5-и стихийных свалок- 3-х в с.Колшево и 2-х в д.Корнилово - всего на общую сумму 433 тыс.руб.</w:t>
      </w:r>
    </w:p>
    <w:p>
      <w:pPr>
        <w:spacing w:after="0"/>
        <w:ind w:left="720" w:firstLine="426"/>
        <w:jc w:val="both"/>
        <w:rPr>
          <w:rFonts w:ascii="Times New Roman" w:hAnsi="Times New Roman" w:eastAsia="Times New Roman" w:cs="Times New Roman"/>
          <w:bCs/>
          <w:sz w:val="24"/>
          <w:szCs w:val="24"/>
          <w:lang w:eastAsia="ru-RU"/>
        </w:rPr>
      </w:pPr>
    </w:p>
    <w:p>
      <w:pPr>
        <w:spacing w:after="0"/>
        <w:ind w:firstLine="426"/>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Способ сбора мусора с помощью урн</w:t>
      </w:r>
    </w:p>
    <w:p>
      <w:pPr>
        <w:spacing w:after="0"/>
        <w:ind w:firstLine="426"/>
        <w:jc w:val="center"/>
        <w:rPr>
          <w:rFonts w:ascii="Times New Roman" w:hAnsi="Times New Roman" w:eastAsia="Times New Roman" w:cs="Times New Roman"/>
          <w:b/>
          <w:bCs/>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На улицах, остановках общественного пассажирского транспорта и других местах массового посещения населения, у подъездов многоквартирных жилых домов, у входа в торговые объекты, предприятия бытового обслуживания, у входа в учреждения культуры, образования, здравоохранения, административные здания предприятий, организаций, учреждений должны быть установлены урны.</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Урны следует очищать от отходов в течение дня по мере необходимости, но не реже одного раза в сутки.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За содержание урн в чистоте несут ответственность организации, предприятия, учреждения, осуществляющие уборку закрепленных за ними территорий.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Запрещается у киосков, магазинов складировать тару и запасы товаров, а также использовать для складирования прилегающие территории.</w:t>
      </w:r>
    </w:p>
    <w:p>
      <w:pPr>
        <w:spacing w:after="120"/>
        <w:jc w:val="center"/>
        <w:rPr>
          <w:rFonts w:ascii="Times New Roman" w:hAnsi="Times New Roman" w:eastAsia="Times New Roman" w:cs="Times New Roman"/>
          <w:b/>
          <w:bCs/>
          <w:sz w:val="24"/>
          <w:szCs w:val="24"/>
          <w:lang w:eastAsia="ru-RU"/>
        </w:rPr>
      </w:pPr>
    </w:p>
    <w:p>
      <w:pPr>
        <w:spacing w:after="0"/>
        <w:ind w:firstLine="426"/>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Способ сбора  твердых бытовых отходов и вторичного сырья с помощью специальных пластиковых мешков</w:t>
      </w:r>
    </w:p>
    <w:p>
      <w:pPr>
        <w:spacing w:after="0"/>
        <w:ind w:firstLine="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1. Сбор твердых бытовых отходов и их последующая утилизация  в населенных пунктах осуществляется с помощью специальных пластиковых мешков, которые приобретаются населением самостоятельно.</w:t>
      </w:r>
    </w:p>
    <w:p>
      <w:pPr>
        <w:spacing w:after="0"/>
        <w:ind w:firstLine="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2.   Договора с организацией осуществляющей сбор, транспортировку и утилизацию мусора население осуществляет самостоятельно, оплата ежемесячно.</w:t>
      </w:r>
    </w:p>
    <w:p>
      <w:pPr>
        <w:spacing w:after="0"/>
        <w:ind w:firstLine="426"/>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3. Сбор вторичного сырья и его последующая транспортировка к месту переработки  в отдаленных населенных пунктах осуществляется с помощью специальных пластиковых мешков, которые приобретаются населением самостоятельно.</w:t>
      </w:r>
    </w:p>
    <w:p>
      <w:pPr>
        <w:spacing w:after="0"/>
        <w:ind w:firstLine="426"/>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Cs/>
          <w:sz w:val="24"/>
          <w:szCs w:val="24"/>
          <w:lang w:eastAsia="ru-RU"/>
        </w:rPr>
        <w:t>4. Вывоз данных мешков осуществляется специальным транспортом или приспособленным для этих целей транспортом с закрывающимся кузовом на полигон твердых бытовых отходов в соответствии с требованиями Санитарных  правил СП 2.1.7.1038-01  «Гигиенические  требования к устройству и содержанию полигонов для твердых бытовых отходов», в соответствии с графиком, утвержденным Администрацией Дмитриевского сельского поселения.</w:t>
      </w:r>
      <w:r>
        <w:rPr>
          <w:rFonts w:ascii="Times New Roman" w:hAnsi="Times New Roman" w:eastAsia="Times New Roman" w:cs="Times New Roman"/>
          <w:b/>
          <w:color w:val="000000"/>
          <w:sz w:val="24"/>
          <w:szCs w:val="24"/>
          <w:lang w:eastAsia="ru-RU"/>
        </w:rPr>
        <w:t xml:space="preserve"> </w:t>
      </w:r>
    </w:p>
    <w:p>
      <w:pPr>
        <w:spacing w:after="0"/>
        <w:ind w:firstLine="426"/>
        <w:jc w:val="both"/>
        <w:rPr>
          <w:rFonts w:ascii="Times New Roman" w:hAnsi="Times New Roman" w:eastAsia="Times New Roman" w:cs="Times New Roman"/>
          <w:b/>
          <w:color w:val="000000"/>
          <w:sz w:val="24"/>
          <w:szCs w:val="24"/>
          <w:lang w:eastAsia="ru-RU"/>
        </w:rPr>
      </w:pPr>
    </w:p>
    <w:p>
      <w:pPr>
        <w:spacing w:after="0"/>
        <w:ind w:firstLine="426"/>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Организация сбора и вывоза  твердых бытовых отходов и вторичного сырья от юридических лиц и индивидуальных предпринимателей</w:t>
      </w:r>
    </w:p>
    <w:p>
      <w:pPr>
        <w:spacing w:after="0"/>
        <w:ind w:firstLine="426"/>
        <w:jc w:val="center"/>
        <w:rPr>
          <w:rFonts w:ascii="Times New Roman" w:hAnsi="Times New Roman" w:eastAsia="Times New Roman" w:cs="Times New Roman"/>
          <w:b/>
          <w:bCs/>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Юридические лица и индивидуальные предприниматели, при осуществлении деятельности которых образуются отходы:</w:t>
      </w:r>
    </w:p>
    <w:p>
      <w:pPr>
        <w:widowControl w:val="0"/>
        <w:numPr>
          <w:ilvl w:val="0"/>
          <w:numId w:val="20"/>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временно складируют отходы (на срок не более шести месяцев)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 эпидемиологического благополучия населения, в целях их дальнейшего использования, обезвреживания, размещения, транспортирования.</w:t>
      </w:r>
    </w:p>
    <w:p>
      <w:pPr>
        <w:widowControl w:val="0"/>
        <w:numPr>
          <w:ilvl w:val="0"/>
          <w:numId w:val="20"/>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заключают договоры с предприятием, осуществляющим сбор и вывоз отходов и вторсырья с мест (площадок) их сбора или, при вывозе отходов собственным транспортом, в установленном порядке заключают договоры на прием отходов с владельцами объектов размещения отходов;</w:t>
      </w:r>
    </w:p>
    <w:p>
      <w:pPr>
        <w:widowControl w:val="0"/>
        <w:numPr>
          <w:ilvl w:val="0"/>
          <w:numId w:val="20"/>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обеспечивают сбор и вывоз образуемых отходов и вторсырья по планово-регулярной системе с учетом периодичности и сроков вывоза  согласно санитарным правилам и утвержденной схемы сбора и вывоза ;</w:t>
      </w:r>
    </w:p>
    <w:p>
      <w:pPr>
        <w:widowControl w:val="0"/>
        <w:numPr>
          <w:ilvl w:val="0"/>
          <w:numId w:val="20"/>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назначают ответственных должностных лиц в области обращения с отходами;</w:t>
      </w:r>
    </w:p>
    <w:p>
      <w:pPr>
        <w:widowControl w:val="0"/>
        <w:numPr>
          <w:ilvl w:val="0"/>
          <w:numId w:val="20"/>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проводят обучение персонала правилам сбора и вывоза отходов и вторсырья.</w:t>
      </w:r>
    </w:p>
    <w:p>
      <w:pPr>
        <w:spacing w:after="0"/>
        <w:ind w:firstLine="426"/>
        <w:jc w:val="center"/>
        <w:rPr>
          <w:rFonts w:ascii="Times New Roman" w:hAnsi="Times New Roman" w:eastAsia="Times New Roman" w:cs="Times New Roman"/>
          <w:b/>
          <w:bCs/>
          <w:sz w:val="24"/>
          <w:szCs w:val="24"/>
          <w:lang w:eastAsia="ru-RU"/>
        </w:rPr>
      </w:pPr>
    </w:p>
    <w:p>
      <w:pPr>
        <w:spacing w:after="0"/>
        <w:ind w:firstLine="426"/>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Организация сбора и вывоза опасных отходов</w:t>
      </w:r>
    </w:p>
    <w:p>
      <w:pPr>
        <w:spacing w:after="0"/>
        <w:ind w:firstLine="426"/>
        <w:jc w:val="center"/>
        <w:rPr>
          <w:rFonts w:ascii="Times New Roman" w:hAnsi="Times New Roman" w:eastAsia="Times New Roman" w:cs="Times New Roman"/>
          <w:b/>
          <w:bCs/>
          <w:sz w:val="24"/>
          <w:szCs w:val="24"/>
          <w:lang w:eastAsia="ru-RU"/>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Опасные отходы для граждан и окружающей среды собираются в специальные емкости, направляются, по согласованию с санитарно-эпидемиологическим и природоохранными органами, на обезвреживание или переработку, в соответствии с законодательством.</w:t>
      </w:r>
    </w:p>
    <w:p>
      <w:pPr>
        <w:jc w:val="both"/>
        <w:rPr>
          <w:rFonts w:ascii="Times New Roman" w:hAnsi="Times New Roman" w:eastAsia="Times New Roman" w:cs="Times New Roman"/>
          <w:sz w:val="24"/>
          <w:szCs w:val="24"/>
          <w:lang w:eastAsia="ru-RU"/>
        </w:rPr>
      </w:pPr>
    </w:p>
    <w:p>
      <w:pPr>
        <w:keepNext/>
        <w:keepLines/>
        <w:spacing w:before="480" w:after="0"/>
        <w:jc w:val="center"/>
        <w:outlineLvl w:val="0"/>
        <w:rPr>
          <w:rFonts w:ascii="Times New Roman" w:hAnsi="Times New Roman" w:eastAsia="Calibri" w:cs="Times New Roman"/>
          <w:b/>
          <w:bCs/>
          <w:color w:val="000000"/>
          <w:sz w:val="24"/>
          <w:szCs w:val="28"/>
          <w:lang w:eastAsia="ru-RU"/>
        </w:rPr>
      </w:pPr>
      <w:bookmarkStart w:id="16" w:name="_Toc312171189"/>
      <w:bookmarkStart w:id="17" w:name="_Toc312173925"/>
      <w:r>
        <w:rPr>
          <w:rFonts w:ascii="Times New Roman" w:hAnsi="Times New Roman" w:eastAsia="Calibri" w:cs="Times New Roman"/>
          <w:b/>
          <w:bCs/>
          <w:color w:val="000000"/>
          <w:sz w:val="24"/>
          <w:szCs w:val="28"/>
          <w:lang w:eastAsia="ru-RU"/>
        </w:rPr>
        <w:t>2.9. ФУНКЦИОНАЛЬНОЕ ЗОНИРОВАНИЕ И ПЛАНИРОВОЧНАЯ ОРГАНИЗАЦИЯ ТЕРРИТОРИИ</w:t>
      </w:r>
      <w:bookmarkEnd w:id="16"/>
      <w:bookmarkEnd w:id="17"/>
    </w:p>
    <w:p>
      <w:pPr>
        <w:keepNext/>
        <w:tabs>
          <w:tab w:val="left" w:pos="576"/>
        </w:tabs>
        <w:suppressAutoHyphens/>
        <w:spacing w:before="240" w:after="60" w:line="240" w:lineRule="auto"/>
        <w:ind w:firstLine="709"/>
        <w:jc w:val="both"/>
        <w:outlineLvl w:val="1"/>
        <w:rPr>
          <w:rFonts w:ascii="Times New Roman" w:hAnsi="Times New Roman" w:eastAsia="Times New Roman" w:cs="Times New Roman"/>
          <w:b/>
          <w:bCs/>
          <w:iCs/>
          <w:sz w:val="24"/>
          <w:szCs w:val="28"/>
          <w:lang w:eastAsia="ar-SA"/>
        </w:rPr>
      </w:pPr>
      <w:bookmarkStart w:id="18" w:name="_Toc312173926"/>
      <w:r>
        <w:rPr>
          <w:rFonts w:ascii="Times New Roman" w:hAnsi="Times New Roman" w:eastAsia="Times New Roman" w:cs="Times New Roman"/>
          <w:b/>
          <w:bCs/>
          <w:iCs/>
          <w:sz w:val="24"/>
          <w:szCs w:val="28"/>
          <w:lang w:eastAsia="ar-SA"/>
        </w:rPr>
        <w:t xml:space="preserve">2.9.1.  КОНЦЕПЦИЯ ФУНКЦИОНАЛЬНО-ПЛАНИРОВОЧНОГО РАЗВИТИЯ </w:t>
      </w:r>
      <w:bookmarkEnd w:id="18"/>
      <w:r>
        <w:rPr>
          <w:rFonts w:ascii="Times New Roman" w:hAnsi="Times New Roman" w:eastAsia="Times New Roman" w:cs="Times New Roman"/>
          <w:b/>
          <w:bCs/>
          <w:iCs/>
          <w:sz w:val="24"/>
          <w:szCs w:val="28"/>
          <w:lang w:eastAsia="ar-SA"/>
        </w:rPr>
        <w:t>ДМИТРИЕВСКОГО СЕЛЬСКОГО ПОСЕЛЕНЕНИЯ</w:t>
      </w:r>
    </w:p>
    <w:p>
      <w:pPr>
        <w:spacing w:before="24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Градостроительная концепция генерального плана ориентирована на эффективное использование сложившихся поселенческих территорий и одновременно резервирование территории для перспективного развития Дмитриевского сельского поселения и его населенных пунктов.</w:t>
      </w:r>
    </w:p>
    <w:p>
      <w:pPr>
        <w:spacing w:before="24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основу Генерального плана Дмитриевского сельского поселения  положена концепция устойчивого развития.</w:t>
      </w:r>
    </w:p>
    <w:p>
      <w:pPr>
        <w:spacing w:before="24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Цель устойчивого развития поселения – сохранение и приумножение всех трудовых и природных ресурсов для будущего поколения. </w:t>
      </w:r>
    </w:p>
    <w:p>
      <w:pPr>
        <w:spacing w:before="24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Градостроительная стратегия направлена на  формирование села Колшево, как развитого промышленного и социально-культурного центра Дмитриевского сельского поселения. Стратегической целью развития является повышение качества жизни населения, развитие его экономической базы, обеспечение устойчивого функционирования всего хозяйственного комплекса и социальной сферы.</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Перспективное функциональное зонирование </w:t>
      </w:r>
      <w:r>
        <w:rPr>
          <w:rFonts w:ascii="Times New Roman" w:hAnsi="Times New Roman" w:eastAsia="Calibri" w:cs="Times New Roman"/>
          <w:sz w:val="24"/>
          <w:szCs w:val="24"/>
          <w:lang w:eastAsia="ru-RU"/>
        </w:rPr>
        <w:t>Дмитриевского сельского поселения</w:t>
      </w:r>
      <w:r>
        <w:rPr>
          <w:rFonts w:ascii="Times New Roman" w:hAnsi="Times New Roman" w:eastAsia="Times New Roman" w:cs="Times New Roman"/>
          <w:sz w:val="24"/>
          <w:szCs w:val="24"/>
          <w:lang w:eastAsia="ru-RU"/>
        </w:rPr>
        <w:t xml:space="preserve">  базируется на сложившемся функциональном использовании территории и включает в себя следующие основные типы функциональных зон:</w:t>
      </w:r>
    </w:p>
    <w:p>
      <w:pPr>
        <w:numPr>
          <w:ilvl w:val="0"/>
          <w:numId w:val="21"/>
        </w:numPr>
        <w:tabs>
          <w:tab w:val="left" w:pos="360"/>
          <w:tab w:val="clear" w:pos="720"/>
        </w:tabs>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зона интенсивного хозяйственного и градостроительного освоения, где допускается максимальное преобразование природной среды;</w:t>
      </w:r>
    </w:p>
    <w:p>
      <w:pPr>
        <w:numPr>
          <w:ilvl w:val="0"/>
          <w:numId w:val="21"/>
        </w:numPr>
        <w:tabs>
          <w:tab w:val="left" w:pos="360"/>
          <w:tab w:val="clear" w:pos="720"/>
        </w:tabs>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зона экстенсивного хозяйственного и градостроительного освоения с относительно небольшим преобразованием природной среды;</w:t>
      </w:r>
    </w:p>
    <w:p>
      <w:pPr>
        <w:numPr>
          <w:ilvl w:val="0"/>
          <w:numId w:val="21"/>
        </w:numPr>
        <w:tabs>
          <w:tab w:val="left" w:pos="360"/>
          <w:tab w:val="clear" w:pos="720"/>
        </w:tabs>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зона ограниченного хозяйственного освоения с максимально сохраняемой природной средой.</w:t>
      </w:r>
    </w:p>
    <w:p>
      <w:pPr>
        <w:spacing w:before="240" w:line="240" w:lineRule="auto"/>
        <w:ind w:firstLine="709"/>
        <w:contextualSpacing/>
        <w:jc w:val="both"/>
        <w:rPr>
          <w:rFonts w:ascii="Times New Roman" w:hAnsi="Times New Roman" w:eastAsia="Times New Roman" w:cs="Times New Roman"/>
          <w:b/>
          <w:i/>
          <w:sz w:val="24"/>
          <w:szCs w:val="24"/>
          <w:lang w:eastAsia="ru-RU"/>
        </w:rPr>
      </w:pP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Зона интенсивного хозяйственного и градостроительного развития</w:t>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sz w:val="24"/>
          <w:szCs w:val="24"/>
          <w:lang w:eastAsia="ru-RU"/>
        </w:rPr>
        <w:t>Дмитриевского сельского поселения</w:t>
      </w:r>
      <w:r>
        <w:rPr>
          <w:rFonts w:ascii="Times New Roman" w:hAnsi="Times New Roman" w:eastAsia="Times New Roman" w:cs="Times New Roman"/>
          <w:sz w:val="24"/>
          <w:szCs w:val="24"/>
          <w:lang w:eastAsia="ru-RU"/>
        </w:rPr>
        <w:t xml:space="preserve"> можно условно разделить на две составные части:</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преимущественно жилищного строительства;</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преимущественно промышленного освоения.</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Эти зоны обладают благоприятными инфраструктурными предпосылками для организации большинства видов хозяйственной деятельности: наличием автомобильных дорог, системы инженерных коммуникаций, сложившегося производственного, социально-культурного и трудового потенциала. Здесь размещается основная часть существующих и резервных площадок для перспективного капитального строительства. Вместе с тем, в пределы этой подзоны должны входить озелененные пространства, выполняющие компенсационные (развитие промышленности) и рекреационные (развитие жилищного строительства) функции. Территориальная организация подзоны является дисперсной.</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Зона интенсивного хозяйственного и градостроительного развития в направлении преимущественно жилищного строительства охватывает основные территории, предназначенные для жилищного малоэтажного строительства.</w:t>
      </w:r>
    </w:p>
    <w:p>
      <w:pPr>
        <w:spacing w:before="240" w:line="240" w:lineRule="auto"/>
        <w:ind w:firstLine="709"/>
        <w:contextualSpacing/>
        <w:jc w:val="both"/>
        <w:rPr>
          <w:rFonts w:ascii="Times New Roman" w:hAnsi="Times New Roman" w:eastAsia="Times New Roman" w:cs="Times New Roman"/>
          <w:b/>
          <w:i/>
          <w:sz w:val="24"/>
          <w:szCs w:val="24"/>
          <w:lang w:eastAsia="ru-RU"/>
        </w:rPr>
      </w:pP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Зона экстенсивного хозяйственного развития</w:t>
      </w:r>
      <w:r>
        <w:rPr>
          <w:rFonts w:ascii="Times New Roman" w:hAnsi="Times New Roman" w:eastAsia="Times New Roman" w:cs="Times New Roman"/>
          <w:sz w:val="24"/>
          <w:szCs w:val="24"/>
          <w:lang w:eastAsia="ru-RU"/>
        </w:rPr>
        <w:t xml:space="preserve"> включает подзоны, связанные с хозяйственной эксплуатацией природно-ресурсного потенциала района площадного характера (сельское хозяйство, лесное хозяйство, добыча полезных ископаемых).</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Подзона сельского хозяйства.</w:t>
      </w:r>
      <w:r>
        <w:rPr>
          <w:rFonts w:ascii="Times New Roman" w:hAnsi="Times New Roman" w:eastAsia="Times New Roman" w:cs="Times New Roman"/>
          <w:sz w:val="24"/>
          <w:szCs w:val="24"/>
          <w:lang w:eastAsia="ru-RU"/>
        </w:rPr>
        <w:t xml:space="preserve"> Специализацию выделенной подзоны сельского хозяйства, можно определить как молочно-товарное животноводство. </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подзоне преимущественно сельскохозяйственного использования предлагается ограничивать изъятие всех видов сельскохозяйственных земель в целях, не связанных с развитием профилирующих отраслей. Особое внимание в этой подзоне следует уделять обеспечению санитарно-эпидемиологического благополучия территории. Поэтому ограничиваются все виды производственной деятельности, отрицательно влияющие на условия развития основных отраслей хозяйства. Рекомендуется предусматривать мелиоративные мероприятия.</w:t>
      </w:r>
    </w:p>
    <w:p>
      <w:pPr>
        <w:spacing w:before="24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Основными условиями достижения прогнозируемых темпов роста развития сельского хозяйства являются:</w:t>
      </w:r>
    </w:p>
    <w:p>
      <w:pPr>
        <w:numPr>
          <w:ilvl w:val="0"/>
          <w:numId w:val="22"/>
        </w:numPr>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направлений, определенных приоритетным национальным проектом «Развитие АПК», связанное с выделением средств на их реализацию, предусмотренных Программой;</w:t>
      </w:r>
    </w:p>
    <w:p>
      <w:pPr>
        <w:numPr>
          <w:ilvl w:val="0"/>
          <w:numId w:val="22"/>
        </w:numPr>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кормовой базы на основе производства культур, обеспечивающих кормопроизводство белком;</w:t>
      </w:r>
    </w:p>
    <w:p>
      <w:pPr>
        <w:numPr>
          <w:ilvl w:val="0"/>
          <w:numId w:val="22"/>
        </w:numPr>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переход к использованию новых высокопроизводительных и ресурсосберегающих технологий</w:t>
      </w:r>
    </w:p>
    <w:p>
      <w:pPr>
        <w:numPr>
          <w:ilvl w:val="0"/>
          <w:numId w:val="22"/>
        </w:numPr>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улучшение финансового положения сельскохозяйственных товаропроизводителей и их материально-технической базы;</w:t>
      </w:r>
    </w:p>
    <w:p>
      <w:pPr>
        <w:numPr>
          <w:ilvl w:val="0"/>
          <w:numId w:val="22"/>
        </w:numPr>
        <w:spacing w:before="240"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повышение платежеспособности сельскохозяйственных товаропроизводителей; повышение производительности труда на основе стимулирования к использованию современных технологий, совершенствование организации производства, а также организации труда и управления.</w:t>
      </w:r>
    </w:p>
    <w:p>
      <w:pPr>
        <w:spacing w:before="240"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iCs/>
          <w:sz w:val="24"/>
          <w:szCs w:val="24"/>
          <w:lang w:eastAsia="ru-RU"/>
        </w:rPr>
        <w:t xml:space="preserve">Подзона лесного хозяйства (эксплуатационные леса) </w:t>
      </w:r>
      <w:r>
        <w:rPr>
          <w:rFonts w:ascii="Times New Roman" w:hAnsi="Times New Roman" w:eastAsia="Times New Roman" w:cs="Times New Roman"/>
          <w:iCs/>
          <w:sz w:val="24"/>
          <w:szCs w:val="24"/>
          <w:lang w:eastAsia="ru-RU"/>
        </w:rPr>
        <w:t>включает участки</w:t>
      </w:r>
      <w:r>
        <w:rPr>
          <w:rFonts w:ascii="Times New Roman" w:hAnsi="Times New Roman" w:eastAsia="Times New Roman" w:cs="Times New Roman"/>
          <w:bCs/>
          <w:iCs/>
          <w:sz w:val="24"/>
          <w:szCs w:val="24"/>
          <w:lang w:eastAsia="ru-RU"/>
        </w:rPr>
        <w:t xml:space="preserve"> лесов, </w:t>
      </w:r>
      <w:r>
        <w:rPr>
          <w:rFonts w:ascii="Times New Roman" w:hAnsi="Times New Roman" w:eastAsia="Times New Roman" w:cs="Times New Roman"/>
          <w:sz w:val="24"/>
          <w:szCs w:val="24"/>
          <w:lang w:eastAsia="ru-RU"/>
        </w:rPr>
        <w:t xml:space="preserve">являющихся главной сырьевой базой лесозаготовительной и деревообрабатывающей промышленности поселения. </w:t>
      </w:r>
    </w:p>
    <w:p>
      <w:pPr>
        <w:shd w:val="clear" w:color="auto" w:fill="FFFFFF"/>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Ресурсные возможности активной лесоэксплуатации имеются на всей территории поселения. Наращивание зоны лесоэксплуатации предполагается за счет освоения новых участков лесного фонда. </w:t>
      </w:r>
    </w:p>
    <w:p>
      <w:pPr>
        <w:tabs>
          <w:tab w:val="left" w:pos="709"/>
        </w:tabs>
        <w:spacing w:before="240"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Значительных ограничений на лесоэксплуатацию нет, за исключением защитных лесов, частично эксплуатационных (ОЗУ и ресурсные резерваты), особо охраняемых природных территорий. Требуется регулирование лесоэксплуатации на малолесных территориях. </w:t>
      </w:r>
    </w:p>
    <w:p>
      <w:pPr>
        <w:spacing w:before="240" w:after="0"/>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Для увеличения объемов лесопользования в поселении необходимо сократить потери древесины при лесозаготовках, освоить передовые технологии переработки древесного сырья, полностью использовать мелкотоварную и, особенно, лиственную древесину. Обязательным условием в части обоснования объемов производства должно быть полное соблюдение требований неистощительного и постоянного лесопользования, охраны природной среды. </w:t>
      </w:r>
    </w:p>
    <w:p>
      <w:pPr>
        <w:spacing w:line="240" w:lineRule="auto"/>
        <w:ind w:firstLine="709"/>
        <w:contextualSpacing/>
        <w:jc w:val="both"/>
        <w:rPr>
          <w:rFonts w:ascii="Times New Roman" w:hAnsi="Times New Roman" w:eastAsia="Times New Roman" w:cs="Times New Roman"/>
          <w:b/>
          <w:i/>
          <w:sz w:val="24"/>
          <w:szCs w:val="24"/>
          <w:lang w:eastAsia="ru-RU"/>
        </w:rPr>
      </w:pP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
          <w:i/>
          <w:sz w:val="24"/>
          <w:szCs w:val="24"/>
          <w:lang w:eastAsia="ru-RU"/>
        </w:rPr>
        <w:t>Зона ограниченного хозяйственного освоения.</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sz w:val="24"/>
          <w:szCs w:val="24"/>
          <w:lang w:eastAsia="ru-RU"/>
        </w:rPr>
        <w:t>Ограничение хозяйственной деятельности в этой зоне связано с тем, что она может нанести ущерб естественному природному ландшафту. Основными направлениями использования территории в этой зоне являются охрана и воспроизводство ценных природных ландшафтов, охрана историко-культурного наследия, организация рекреационной деятельности для долговременного отдыха жителей и гостей района.</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связи с этим выделяются подзоны лесного хозяйства, особо охраняемых территорий и рекреационной деятельности. </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значение имеют локальные участки, где сочетаются туристско-рекреационная и охранная функции, что является благоприятным фактором для организации комплексных туристско-рекреационных зон (в т.ч. федерального значения) и взаимосвязанного решения других задач (охраны историко-культурного наследия и т.д.).</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i/>
          <w:sz w:val="24"/>
          <w:szCs w:val="24"/>
          <w:lang w:eastAsia="ru-RU"/>
        </w:rPr>
        <w:t>Подзону лесного хозяйства</w:t>
      </w:r>
      <w:r>
        <w:rPr>
          <w:rFonts w:ascii="Times New Roman" w:hAnsi="Times New Roman" w:eastAsia="Times New Roman" w:cs="Times New Roman"/>
          <w:i/>
          <w:sz w:val="24"/>
          <w:szCs w:val="24"/>
          <w:lang w:eastAsia="ru-RU"/>
        </w:rPr>
        <w:t xml:space="preserve"> (защитные леса)</w:t>
      </w:r>
      <w:r>
        <w:rPr>
          <w:rFonts w:ascii="Times New Roman" w:hAnsi="Times New Roman" w:eastAsia="Times New Roman" w:cs="Times New Roman"/>
          <w:sz w:val="24"/>
          <w:szCs w:val="24"/>
          <w:lang w:eastAsia="ru-RU"/>
        </w:rPr>
        <w:t xml:space="preserve"> составляют леса </w:t>
      </w:r>
      <w:r>
        <w:rPr>
          <w:rFonts w:ascii="Times New Roman" w:hAnsi="Times New Roman" w:eastAsia="Times New Roman" w:cs="Times New Roman"/>
          <w:bCs/>
          <w:sz w:val="24"/>
          <w:szCs w:val="24"/>
          <w:lang w:eastAsia="ru-RU"/>
        </w:rPr>
        <w:t>лесного фонда</w:t>
      </w:r>
      <w:r>
        <w:rPr>
          <w:rFonts w:ascii="Times New Roman" w:hAnsi="Times New Roman" w:eastAsia="Times New Roman" w:cs="Times New Roman"/>
          <w:sz w:val="24"/>
          <w:szCs w:val="24"/>
          <w:lang w:eastAsia="ru-RU"/>
        </w:rPr>
        <w:t>, имеющие статус защитных. Главными задачами являются охрана и восстановление лесных ресурсов, увеличение площадей лесов ценных пород и для целей рекреации, улучшение водоохранных и защитных функций лесов. Для дальнейшего развития лесного хозяйства и улучшения экологической обстановки в поселении требуется принятие мер по улучшению породного состава лесов, увеличению объемов лесовосстановительных работ.</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 xml:space="preserve">Подзона особо охраняемых территорий </w:t>
      </w:r>
      <w:r>
        <w:rPr>
          <w:rFonts w:ascii="Times New Roman" w:hAnsi="Times New Roman" w:eastAsia="Times New Roman" w:cs="Times New Roman"/>
          <w:sz w:val="24"/>
          <w:szCs w:val="24"/>
          <w:lang w:eastAsia="ru-RU"/>
        </w:rPr>
        <w:t xml:space="preserve">включает территории памятников истории и культуры и особо охраняемые природные территории, как существующие, так и перспективные. </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Режим использования этой подзоны регламентируется статусом входящих в нее территорий и является наиболее строгим: территория должна оставаться ненарушенной, закрытой для коммерческого использования, разработок леса и полезных ископаемых и жестко регламентированной для гидротехнических сооружений, выпаса скота и охоты. Развитие туризма должно быть разумно ограничено для сохранения уникальности, эталонности и ненарушенности экосистем. </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результате комплексного анализа ландшафтно-рекреационных особенностей территории поселения в зоне ограниченного хозяйственного освоения</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sz w:val="24"/>
          <w:szCs w:val="24"/>
          <w:lang w:eastAsia="ru-RU"/>
        </w:rPr>
        <w:t xml:space="preserve">выделена </w:t>
      </w:r>
      <w:r>
        <w:rPr>
          <w:rFonts w:ascii="Times New Roman" w:hAnsi="Times New Roman" w:eastAsia="Times New Roman" w:cs="Times New Roman"/>
          <w:i/>
          <w:sz w:val="24"/>
          <w:szCs w:val="24"/>
          <w:lang w:eastAsia="ru-RU"/>
        </w:rPr>
        <w:t>туристско-рекреационная подзона</w:t>
      </w:r>
      <w:r>
        <w:rPr>
          <w:rFonts w:ascii="Times New Roman" w:hAnsi="Times New Roman" w:eastAsia="Times New Roman" w:cs="Times New Roman"/>
          <w:sz w:val="24"/>
          <w:szCs w:val="24"/>
          <w:lang w:eastAsia="ru-RU"/>
        </w:rPr>
        <w:t>, где предусматривается развитие туристской инфраструктуры (размещение объектов капитального строительства, развитие сферы услуг).</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этой зоне возможно развитие различных видов туризма:</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спортивного и приключенческого (в первую очередь, прибрежная территория Горьковского водохранилища);</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промыслового (водные объекты и территории участковых лесничеств);</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эколого-просветительского туризма (в первую очередь, территории существующих ООПТ регионального значения и планируемых к организации ООПТ местного значения).</w:t>
      </w:r>
    </w:p>
    <w:p>
      <w:pPr>
        <w:spacing w:after="0"/>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r>
        <w:rPr>
          <w:rFonts w:ascii="Times New Roman" w:hAnsi="Times New Roman" w:eastAsia="Times New Roman" w:cs="Times New Roman"/>
          <w:color w:val="1F497D"/>
          <w:sz w:val="24"/>
          <w:szCs w:val="24"/>
          <w:lang w:eastAsia="ru-RU"/>
        </w:rPr>
        <w:t xml:space="preserve"> </w:t>
      </w:r>
      <w:r>
        <w:rPr>
          <w:rFonts w:ascii="Times New Roman" w:hAnsi="Times New Roman" w:eastAsia="Times New Roman" w:cs="Times New Roman"/>
          <w:sz w:val="24"/>
          <w:szCs w:val="24"/>
          <w:lang w:eastAsia="ru-RU"/>
        </w:rPr>
        <w:t>возможно развитие локальных рекреационных центров.</w:t>
      </w:r>
    </w:p>
    <w:p>
      <w:pPr>
        <w:spacing w:after="0" w:line="240" w:lineRule="auto"/>
        <w:ind w:firstLine="720"/>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рекреационных центрах туристско-рекреационной подзоны рекомендуется сконцентрировать основные объекты рекреационной инфраструктуры (гостиницы, дома отдыха, туристские базы), начало туристских маршрутов.</w:t>
      </w:r>
    </w:p>
    <w:p>
      <w:pPr>
        <w:rPr>
          <w:rFonts w:ascii="Calibri" w:hAnsi="Calibri" w:eastAsia="Times New Roman" w:cs="Times New Roman"/>
          <w:lang w:eastAsia="ru-RU"/>
        </w:rPr>
      </w:pPr>
    </w:p>
    <w:p>
      <w:pPr>
        <w:keepNext/>
        <w:tabs>
          <w:tab w:val="left" w:pos="576"/>
        </w:tabs>
        <w:suppressAutoHyphens/>
        <w:spacing w:after="0" w:line="240" w:lineRule="auto"/>
        <w:ind w:firstLine="709"/>
        <w:jc w:val="both"/>
        <w:outlineLvl w:val="1"/>
        <w:rPr>
          <w:rFonts w:ascii="Times New Roman" w:hAnsi="Times New Roman" w:eastAsia="Times New Roman" w:cs="Times New Roman"/>
          <w:b/>
          <w:spacing w:val="-2"/>
          <w:sz w:val="24"/>
          <w:szCs w:val="28"/>
          <w:lang w:eastAsia="ar-SA"/>
        </w:rPr>
      </w:pPr>
      <w:r>
        <w:rPr>
          <w:rFonts w:ascii="Times New Roman" w:hAnsi="Times New Roman" w:eastAsia="Times New Roman" w:cs="Times New Roman"/>
          <w:b/>
          <w:spacing w:val="-2"/>
          <w:sz w:val="24"/>
          <w:szCs w:val="28"/>
          <w:lang w:eastAsia="ar-SA"/>
        </w:rPr>
        <w:t>2.9.2. ПЛАНИРОВОЧНАЯ СТРУКТУРА</w:t>
      </w:r>
    </w:p>
    <w:p>
      <w:pPr>
        <w:rPr>
          <w:rFonts w:ascii="Calibri" w:hAnsi="Calibri" w:eastAsia="Times New Roman" w:cs="Times New Roman"/>
          <w:lang w:eastAsia="ar-SA"/>
        </w:rPr>
      </w:pP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Основой планировочной структуры территории поселения является: сложившийся транспортный каркас (линейные элементы транспорта) и элементы инженерной инфраструктуры, природные планировочные оси (в основном важнейшие реки).</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Сложившаяся территориальная организация поселения представляет собой достаточно четкую планировочную структуру, основными элементами которой являются:</w:t>
      </w:r>
    </w:p>
    <w:p>
      <w:pPr>
        <w:widowControl w:val="0"/>
        <w:numPr>
          <w:ilvl w:val="1"/>
          <w:numId w:val="23"/>
        </w:numPr>
        <w:tabs>
          <w:tab w:val="left" w:pos="1080"/>
        </w:tabs>
        <w:suppressAutoHyphens/>
        <w:spacing w:after="0" w:line="240" w:lineRule="auto"/>
        <w:ind w:left="108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планировочный центр Дмитриевское СП — является административным центром сельских поселения, которое связано с районным центром автодорогами республиканского, областного и местного значения;</w:t>
      </w:r>
    </w:p>
    <w:p>
      <w:pPr>
        <w:widowControl w:val="0"/>
        <w:numPr>
          <w:ilvl w:val="1"/>
          <w:numId w:val="23"/>
        </w:numPr>
        <w:tabs>
          <w:tab w:val="left" w:pos="1080"/>
        </w:tabs>
        <w:suppressAutoHyphens/>
        <w:spacing w:after="0" w:line="240" w:lineRule="auto"/>
        <w:ind w:left="108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главная планировочная ось — автомобильная дорога общего пользования регионального значения Заволжск - Кострома, проходящая с юга на север по территории поселения.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Все дороги выполняют главную роль во внешних связях района с другими районами Ивановской области и соседней Костромской областью, а также осуществляют межхозяйственные и внутрихозяйственные связи.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Разветвленная речная сеть исторически сформировала сельское, преимущественно приречное расселение.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Территория поселения представляет зону преимущественного развития сельскохозяйственного производства и лесного хозяйства.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На перспективу планировочная структура поселения не претерпит больших изменений, и дальнейшее развитие пойдет по пути совершенствования сложившейся планировочной структуры и уточнения функционального зонирования.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Совершенствование планировочной структуры будет осуществляться по следующим направлениям: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-создание системы сельских населенных пунктов, где поселение органично войдёт в общую систему расселения района, области;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-развитие учреждений и зон массового отдыха;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-совершенствование транспортной сети поселения, являющейся основой формирования планировочной структуры поселения;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-дальнейшее совершенствование и развитие туризма.</w:t>
      </w:r>
    </w:p>
    <w:p>
      <w:pPr>
        <w:rPr>
          <w:rFonts w:ascii="Calibri" w:hAnsi="Calibri" w:eastAsia="Times New Roman" w:cs="Times New Roman"/>
          <w:lang w:eastAsia="ru-RU"/>
        </w:rPr>
      </w:pPr>
    </w:p>
    <w:p>
      <w:pPr>
        <w:keepNext/>
        <w:tabs>
          <w:tab w:val="left" w:pos="576"/>
        </w:tabs>
        <w:suppressAutoHyphens/>
        <w:spacing w:after="0" w:line="240" w:lineRule="auto"/>
        <w:ind w:left="709" w:firstLine="709"/>
        <w:contextualSpacing/>
        <w:jc w:val="both"/>
        <w:outlineLvl w:val="1"/>
        <w:rPr>
          <w:rFonts w:ascii="Times New Roman" w:hAnsi="Times New Roman" w:eastAsia="Times New Roman" w:cs="Times New Roman"/>
          <w:b/>
          <w:spacing w:val="-2"/>
          <w:sz w:val="24"/>
          <w:szCs w:val="28"/>
          <w:lang w:eastAsia="ar-SA"/>
        </w:rPr>
      </w:pPr>
      <w:bookmarkStart w:id="19" w:name="_Toc248330400"/>
      <w:bookmarkStart w:id="20" w:name="_Toc248747395"/>
      <w:bookmarkStart w:id="21" w:name="_Toc248575755"/>
      <w:bookmarkStart w:id="22" w:name="_Toc237766807"/>
      <w:bookmarkStart w:id="23" w:name="_Toc225313004"/>
      <w:r>
        <w:rPr>
          <w:rFonts w:ascii="Times New Roman" w:hAnsi="Times New Roman" w:eastAsia="Times New Roman" w:cs="Times New Roman"/>
          <w:b/>
          <w:spacing w:val="-2"/>
          <w:sz w:val="24"/>
          <w:szCs w:val="28"/>
          <w:lang w:eastAsia="ar-SA"/>
        </w:rPr>
        <w:t>2.9.3. ПРЕДЛОЖЕНИЯ ПО РАЗМЕЩЕНИЮ ПЛАНИРУЕМЫХ ОБЪЕКТОВ КАПИТАЛЬНОГО СТРОИТЕЛЬСТВА</w:t>
      </w:r>
      <w:bookmarkEnd w:id="19"/>
      <w:bookmarkEnd w:id="20"/>
      <w:bookmarkEnd w:id="21"/>
      <w:bookmarkEnd w:id="22"/>
      <w:bookmarkEnd w:id="23"/>
    </w:p>
    <w:p>
      <w:pPr>
        <w:spacing w:line="240" w:lineRule="auto"/>
        <w:contextualSpacing/>
        <w:rPr>
          <w:rFonts w:ascii="Times New Roman" w:hAnsi="Times New Roman" w:eastAsia="Times New Roman" w:cs="Times New Roman"/>
          <w:sz w:val="20"/>
          <w:lang w:eastAsia="ru-RU"/>
        </w:rPr>
      </w:pP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Все объекты капитального строительства условно можно разделить на линейные, точечные и зональные:</w:t>
      </w:r>
    </w:p>
    <w:p>
      <w:pPr>
        <w:numPr>
          <w:ilvl w:val="0"/>
          <w:numId w:val="24"/>
        </w:numPr>
        <w:spacing w:after="0" w:line="240" w:lineRule="auto"/>
        <w:ind w:left="993" w:hanging="426"/>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линейные (транспортные, инженерные коммуникации, линии связи);</w:t>
      </w:r>
    </w:p>
    <w:p>
      <w:pPr>
        <w:numPr>
          <w:ilvl w:val="0"/>
          <w:numId w:val="24"/>
        </w:numPr>
        <w:spacing w:after="0" w:line="240" w:lineRule="auto"/>
        <w:ind w:left="993" w:hanging="426"/>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точечные, требующие относительно небольших по размеру, компактных площадок;</w:t>
      </w:r>
    </w:p>
    <w:p>
      <w:pPr>
        <w:numPr>
          <w:ilvl w:val="0"/>
          <w:numId w:val="24"/>
        </w:numPr>
        <w:spacing w:after="0" w:line="240" w:lineRule="auto"/>
        <w:ind w:left="993" w:hanging="426"/>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зональные (площадного характера), представляющие собой совокупность близко расположенных объектов, создаваемые для освоения полезных ископаемых (например, строительного сырья), либо для длительного отдыха и туризма регионального значения.</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u w:val="single"/>
          <w:lang w:eastAsia="ru-RU"/>
        </w:rPr>
        <w:t>Объекты точечного характера</w:t>
      </w:r>
      <w:r>
        <w:rPr>
          <w:rFonts w:ascii="Times New Roman" w:hAnsi="Times New Roman" w:eastAsia="Times New Roman" w:cs="Times New Roman"/>
          <w:sz w:val="24"/>
          <w:szCs w:val="28"/>
          <w:lang w:eastAsia="ru-RU"/>
        </w:rPr>
        <w:t xml:space="preserve"> в основном представлены объектами производственной сферы (промышленность, агропромышленный комплекс, материально-техническое снабжение и т.д.), а также социальной инфраструктуры. Их размещение целесообразно в пределах уже сложившихся населенных пунктов, либо в непосредственной близости от них, т.к. в противном случае потребуются значительные затраты на инженерную подготовку территории и развитие инженерно-транспортной инфраструктуры. Производственные объекты следует размещать в сложившихся, либо во вновь формирующихся производственных зонах, а объекты социальной сферы – в общественно-деловых зонах. Это снижает негативное воздействие на окружающую среду, обеспечивает экономию всех видов затрат. </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u w:val="single"/>
          <w:lang w:eastAsia="ru-RU"/>
        </w:rPr>
        <w:t>Объекты линейного характера</w:t>
      </w:r>
      <w:r>
        <w:rPr>
          <w:rFonts w:ascii="Times New Roman" w:hAnsi="Times New Roman" w:eastAsia="Times New Roman" w:cs="Times New Roman"/>
          <w:sz w:val="24"/>
          <w:szCs w:val="28"/>
          <w:lang w:eastAsia="ru-RU"/>
        </w:rPr>
        <w:t xml:space="preserve"> регионального значения обеспечивают связь с опорной транспортной сетью, системой магистральных линий электропередач, связи, газопроводов. Размещение таких объектов обусловливается их ролью в технологической цепочке соответствующей системы коммуникаций. По возможности, следует рассматривать их совмещенную трассировку в виде коридоров коммуникаций.</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u w:val="single"/>
          <w:lang w:eastAsia="ru-RU"/>
        </w:rPr>
        <w:t>Размещение объектов зонального (площадного) характера</w:t>
      </w:r>
      <w:r>
        <w:rPr>
          <w:rFonts w:ascii="Times New Roman" w:hAnsi="Times New Roman" w:eastAsia="Times New Roman" w:cs="Times New Roman"/>
          <w:sz w:val="24"/>
          <w:szCs w:val="28"/>
          <w:lang w:eastAsia="ru-RU"/>
        </w:rPr>
        <w:t>, связано с технико-экономическими особенностями использования соответствующего вида природных ресурсов. Однако их размещение также должно носить групповой (компактный) характер, преимущественно в сложившихся центрах соответствующей специализации для экономии инженерно-транспортных и других затрат.</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Обоснование размещения объектов капитального строительства точечного характера, помимо указанных подходов и принципов базируется на результатах анализа природно-ресурсного потенциала территории и ее экологического состояния.</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Формирование перечня объектов капитального строительства производилось с учетом:</w:t>
      </w:r>
    </w:p>
    <w:p>
      <w:pPr>
        <w:numPr>
          <w:ilvl w:val="0"/>
          <w:numId w:val="25"/>
        </w:numPr>
        <w:spacing w:after="0" w:line="240" w:lineRule="auto"/>
        <w:ind w:left="0"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действующих целевых программ, которые являются основанием для первоочередных мероприятий Проекта;</w:t>
      </w:r>
    </w:p>
    <w:p>
      <w:pPr>
        <w:numPr>
          <w:ilvl w:val="0"/>
          <w:numId w:val="25"/>
        </w:numPr>
        <w:spacing w:after="0" w:line="240" w:lineRule="auto"/>
        <w:ind w:left="0"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обоснований, имеющихся в Стратегии социально-экономического развития поселения;</w:t>
      </w:r>
    </w:p>
    <w:p>
      <w:pPr>
        <w:numPr>
          <w:ilvl w:val="0"/>
          <w:numId w:val="25"/>
        </w:numPr>
        <w:spacing w:after="0" w:line="240" w:lineRule="auto"/>
        <w:ind w:left="0"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наличия обоснований целесообразности строительства объектов в составе инвестиционных проектов.</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Объекты разделены на реконструируемые и вновь строящиеся. Для реконструируемых объектов предлагаются наиболее рентабельные предприятия. Объекты нового строительства размещаются с учетом возможности кооперации с другими предприятиями в пределах промышленной зоны с учетом экономически обоснованного радиуса доставки продукции потребителям в пределах территории поселения.</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Для Дмитриевского сельского поселения рекомендуется вариант размещения объектов капитального строительства преимущественно в крупных населенных пунктах поселения.</w:t>
      </w:r>
      <w:bookmarkStart w:id="24" w:name="_Toc217899069"/>
      <w:bookmarkStart w:id="25" w:name="_Toc217974645"/>
      <w:r>
        <w:rPr>
          <w:rFonts w:ascii="Times New Roman" w:hAnsi="Times New Roman" w:eastAsia="Times New Roman" w:cs="Times New Roman"/>
          <w:sz w:val="24"/>
          <w:szCs w:val="28"/>
          <w:lang w:eastAsia="ru-RU"/>
        </w:rPr>
        <w:t xml:space="preserve"> Данный вариант позволяет приблизить производство к потребителям, осуществить задачу выравнивания уровня социально-экономического развития территории поселения, а также занять местные трудовые ресурсы. Кроме того, размещение этих предприятий даст сопряженный эффект в виде развития производственной и социальной инфраструктуры и развития новых отраслей (например, туристско-рекреационной деятельности).</w:t>
      </w:r>
    </w:p>
    <w:p>
      <w:pPr>
        <w:spacing w:line="240" w:lineRule="auto"/>
        <w:ind w:firstLine="709"/>
        <w:contextualSpacing/>
        <w:jc w:val="both"/>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Ниже приведен перечень инвестиционных площадок рекомендуемых для размещения первоочередных объектов капитального строительства поселения. </w:t>
      </w:r>
      <w:bookmarkEnd w:id="24"/>
      <w:bookmarkEnd w:id="25"/>
    </w:p>
    <w:p>
      <w:pPr>
        <w:rPr>
          <w:rFonts w:ascii="Calibri" w:hAnsi="Calibri" w:eastAsia="Times New Roman" w:cs="Times New Roman"/>
          <w:lang w:eastAsia="ru-RU"/>
        </w:rPr>
      </w:pPr>
    </w:p>
    <w:p>
      <w:pPr>
        <w:tabs>
          <w:tab w:val="left" w:pos="709"/>
          <w:tab w:val="left" w:pos="9163"/>
        </w:tabs>
        <w:spacing w:line="240" w:lineRule="auto"/>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Перечень мероприятий по территориальному планированию</w:t>
      </w:r>
    </w:p>
    <w:p>
      <w:pPr>
        <w:tabs>
          <w:tab w:val="left" w:pos="709"/>
          <w:tab w:val="left" w:pos="9163"/>
        </w:tabs>
        <w:spacing w:line="240" w:lineRule="auto"/>
        <w:contextualSpacing/>
        <w:jc w:val="both"/>
        <w:rPr>
          <w:rFonts w:ascii="Times New Roman" w:hAnsi="Times New Roman" w:eastAsia="Times New Roman" w:cs="Times New Roman"/>
          <w:sz w:val="24"/>
          <w:szCs w:val="24"/>
          <w:lang w:eastAsia="ru-RU"/>
        </w:rPr>
      </w:pPr>
    </w:p>
    <w:p>
      <w:pPr>
        <w:numPr>
          <w:ilvl w:val="0"/>
          <w:numId w:val="26"/>
        </w:numPr>
        <w:spacing w:after="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Объекты капитального строительства в области связи и информатизации</w:t>
      </w:r>
    </w:p>
    <w:p>
      <w:pPr>
        <w:spacing w:after="0"/>
        <w:ind w:firstLine="425"/>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Телекоммуникационное пространство поселения обеспечивается Верхневолжским филиалом ОАО «Центртелеком». В настоящее время активно продвигается телефонизация поселения при помощи операторов сотовой связи. В рамках федеральной программы телефонизации регионов проводится установка в населенных пунктах таксофонов.</w:t>
      </w:r>
    </w:p>
    <w:p>
      <w:pPr>
        <w:tabs>
          <w:tab w:val="left" w:pos="900"/>
        </w:tabs>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сегодняшний день АТС расположены в с.Колшево и д. Корнилово.</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Согласно плана полной цифровизации электросвязи в Ивановской области предусматривается замена всех аналоговых станций на цифровые. Также планируется замена соединительных линий связи до этих АТС на волоконно-оптические линии связи и монтаж оборудования передачи данных для предоставления услуг широкополосного доступа (Интернет).</w:t>
      </w:r>
    </w:p>
    <w:p>
      <w:pPr>
        <w:tabs>
          <w:tab w:val="left" w:pos="900"/>
        </w:tabs>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развития сети сотовой связи стандарта </w:t>
      </w:r>
      <w:r>
        <w:rPr>
          <w:rFonts w:ascii="Times New Roman" w:hAnsi="Times New Roman" w:eastAsia="Times New Roman" w:cs="Times New Roman"/>
          <w:sz w:val="24"/>
          <w:szCs w:val="24"/>
          <w:lang w:val="en-US" w:eastAsia="ru-RU"/>
        </w:rPr>
        <w:t>CDMA</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en-US" w:eastAsia="ru-RU"/>
        </w:rPr>
        <w:t>IMT</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val="en-US" w:eastAsia="ru-RU"/>
        </w:rPr>
        <w:t>MC</w:t>
      </w:r>
      <w:r>
        <w:rPr>
          <w:rFonts w:ascii="Times New Roman" w:hAnsi="Times New Roman" w:eastAsia="Times New Roman" w:cs="Times New Roman"/>
          <w:sz w:val="24"/>
          <w:szCs w:val="24"/>
          <w:lang w:eastAsia="ru-RU"/>
        </w:rPr>
        <w:t xml:space="preserve"> 450 планируется установка мачты сотовой связи в районе Есиплево -Корнилово.</w:t>
      </w:r>
    </w:p>
    <w:p>
      <w:pPr>
        <w:tabs>
          <w:tab w:val="left" w:pos="900"/>
        </w:tabs>
        <w:spacing w:after="0"/>
        <w:ind w:firstLine="425"/>
        <w:jc w:val="both"/>
        <w:rPr>
          <w:rFonts w:ascii="Times New Roman" w:hAnsi="Times New Roman" w:eastAsia="Times New Roman" w:cs="Times New Roman"/>
          <w:b/>
          <w:i/>
          <w:sz w:val="24"/>
          <w:szCs w:val="24"/>
          <w:lang w:eastAsia="ru-RU"/>
        </w:rPr>
      </w:pPr>
    </w:p>
    <w:p>
      <w:pPr>
        <w:numPr>
          <w:ilvl w:val="0"/>
          <w:numId w:val="26"/>
        </w:numPr>
        <w:spacing w:after="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Объекты  капитального строительства энергетических систем.</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Энергоснабжение Дмитриевского сельского поселения представлено мощностями ОАО «Ивэнерго», обеспечивающими снабжение всех потребителей — промышленных, сельских и бытовых.</w:t>
      </w:r>
    </w:p>
    <w:p>
      <w:pPr>
        <w:spacing w:after="0"/>
        <w:ind w:firstLine="425"/>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Характеристика подстанций</w:t>
      </w:r>
    </w:p>
    <w:p>
      <w:pPr>
        <w:tabs>
          <w:tab w:val="left" w:pos="900"/>
        </w:tabs>
        <w:spacing w:after="0"/>
        <w:ind w:firstLine="425"/>
        <w:jc w:val="both"/>
        <w:rPr>
          <w:rFonts w:ascii="Times New Roman" w:hAnsi="Times New Roman" w:eastAsia="Times New Roman" w:cs="Times New Roman"/>
          <w:b/>
          <w:i/>
          <w:sz w:val="24"/>
          <w:szCs w:val="24"/>
          <w:lang w:eastAsia="ru-RU"/>
        </w:rPr>
      </w:pPr>
    </w:p>
    <w:tbl>
      <w:tblPr>
        <w:tblStyle w:val="22"/>
        <w:tblW w:w="9109" w:type="dxa"/>
        <w:tblInd w:w="55" w:type="dxa"/>
        <w:tblLayout w:type="fixed"/>
        <w:tblCellMar>
          <w:top w:w="55" w:type="dxa"/>
          <w:left w:w="55" w:type="dxa"/>
          <w:bottom w:w="55" w:type="dxa"/>
          <w:right w:w="55" w:type="dxa"/>
        </w:tblCellMar>
      </w:tblPr>
      <w:tblGrid>
        <w:gridCol w:w="660"/>
        <w:gridCol w:w="2955"/>
        <w:gridCol w:w="1505"/>
        <w:gridCol w:w="2095"/>
        <w:gridCol w:w="1894"/>
      </w:tblGrid>
      <w:tr>
        <w:tblPrEx>
          <w:tblLayout w:type="fixed"/>
          <w:tblCellMar>
            <w:top w:w="55" w:type="dxa"/>
            <w:left w:w="55" w:type="dxa"/>
            <w:bottom w:w="55" w:type="dxa"/>
            <w:right w:w="55" w:type="dxa"/>
          </w:tblCellMar>
        </w:tblPrEx>
        <w:trPr>
          <w:cantSplit/>
          <w:trHeight w:val="276" w:hRule="atLeast"/>
        </w:trPr>
        <w:tc>
          <w:tcPr>
            <w:tcW w:w="660"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w:t>
            </w:r>
          </w:p>
        </w:tc>
        <w:tc>
          <w:tcPr>
            <w:tcW w:w="2955"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Наименование ПС, место расположения, адрес</w:t>
            </w:r>
          </w:p>
        </w:tc>
        <w:tc>
          <w:tcPr>
            <w:tcW w:w="1505"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Система напряжения, кВ</w:t>
            </w:r>
          </w:p>
        </w:tc>
        <w:tc>
          <w:tcPr>
            <w:tcW w:w="2095" w:type="dxa"/>
            <w:tcBorders>
              <w:top w:val="single" w:color="000000" w:sz="0" w:space="0"/>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Количество и установленная мощность трансформаторов</w:t>
            </w:r>
          </w:p>
        </w:tc>
        <w:tc>
          <w:tcPr>
            <w:tcW w:w="1894" w:type="dxa"/>
            <w:tcBorders>
              <w:top w:val="single" w:color="000000" w:sz="0" w:space="0"/>
              <w:left w:val="single" w:color="000000" w:sz="0" w:space="0"/>
              <w:bottom w:val="single" w:color="000000" w:sz="0" w:space="0"/>
              <w:right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Ведомственная принадлежность</w:t>
            </w:r>
          </w:p>
        </w:tc>
      </w:tr>
      <w:tr>
        <w:tblPrEx>
          <w:tblLayout w:type="fixed"/>
          <w:tblCellMar>
            <w:top w:w="55" w:type="dxa"/>
            <w:left w:w="55" w:type="dxa"/>
            <w:bottom w:w="55" w:type="dxa"/>
            <w:right w:w="55" w:type="dxa"/>
          </w:tblCellMar>
        </w:tblPrEx>
        <w:trPr>
          <w:cantSplit/>
          <w:trHeight w:val="276" w:hRule="atLeast"/>
        </w:trPr>
        <w:tc>
          <w:tcPr>
            <w:tcW w:w="660" w:type="dxa"/>
            <w:tcBorders>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1</w:t>
            </w:r>
          </w:p>
        </w:tc>
        <w:tc>
          <w:tcPr>
            <w:tcW w:w="2955" w:type="dxa"/>
            <w:tcBorders>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Колшево</w:t>
            </w:r>
          </w:p>
        </w:tc>
        <w:tc>
          <w:tcPr>
            <w:tcW w:w="1505" w:type="dxa"/>
            <w:tcBorders>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35/10</w:t>
            </w:r>
          </w:p>
        </w:tc>
        <w:tc>
          <w:tcPr>
            <w:tcW w:w="2095" w:type="dxa"/>
            <w:tcBorders>
              <w:left w:val="single" w:color="000000" w:sz="0" w:space="0"/>
              <w:bottom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1,6 МВА</w:t>
            </w:r>
          </w:p>
        </w:tc>
        <w:tc>
          <w:tcPr>
            <w:tcW w:w="1894" w:type="dxa"/>
            <w:tcBorders>
              <w:left w:val="single" w:color="000000" w:sz="0" w:space="0"/>
              <w:bottom w:val="single" w:color="000000" w:sz="0" w:space="0"/>
              <w:right w:val="single" w:color="000000" w:sz="0" w:space="0"/>
            </w:tcBorders>
          </w:tcPr>
          <w:p>
            <w:pPr>
              <w:widowControl w:val="0"/>
              <w:suppressLineNumbers/>
              <w:suppressAutoHyphens/>
              <w:snapToGrid w:val="0"/>
              <w:spacing w:after="0" w:line="240" w:lineRule="auto"/>
              <w:ind w:firstLine="425"/>
              <w:rPr>
                <w:rFonts w:ascii="Times New Roman" w:hAnsi="Times New Roman" w:eastAsia="Arial Unicode MS" w:cs="Times New Roman"/>
                <w:kern w:val="1"/>
                <w:sz w:val="24"/>
                <w:szCs w:val="24"/>
                <w:lang w:eastAsia="ru-RU"/>
              </w:rPr>
            </w:pPr>
          </w:p>
        </w:tc>
      </w:tr>
    </w:tbl>
    <w:p>
      <w:pPr>
        <w:spacing w:after="0"/>
        <w:ind w:firstLine="425"/>
        <w:jc w:val="both"/>
        <w:rPr>
          <w:rFonts w:ascii="Times New Roman" w:hAnsi="Times New Roman" w:eastAsia="Times New Roman" w:cs="Times New Roman"/>
          <w:b/>
          <w:bCs/>
          <w:sz w:val="24"/>
          <w:szCs w:val="24"/>
          <w:lang w:eastAsia="ru-RU"/>
        </w:rPr>
      </w:pPr>
    </w:p>
    <w:p>
      <w:pPr>
        <w:numPr>
          <w:ilvl w:val="0"/>
          <w:numId w:val="26"/>
        </w:numPr>
        <w:spacing w:after="0"/>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 Линейные объекты капитального строительства, обеспечивающие деятельность естественных монополий (газоснабжение).</w:t>
      </w:r>
    </w:p>
    <w:p>
      <w:pPr>
        <w:tabs>
          <w:tab w:val="left" w:pos="900"/>
        </w:tabs>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настоящее время все населенные пункты Дмитриевского сельского поселения лишены сетевого газоснабжения. Населением поселения в качестве топлива используются уголь, мазут и дрова, которые являются более дорогими видами топлива, по сравнению с газом и менее экологически чистыми.</w:t>
      </w:r>
    </w:p>
    <w:p>
      <w:pPr>
        <w:tabs>
          <w:tab w:val="left" w:pos="900"/>
        </w:tabs>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данном проекте предусматривается газификация поселения.</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Схема газификации предусматривает максимальный охват газоснабжением населенных пунктов на основе оптимального выбора трасс межпоселковых газопроводов. Разработка схемы газоснабжения осуществляется с учетом:</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-удаленности объектов газоснабжения от источников сетевого газа;</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-численности населения, проживающего в населенных пунктах;</w:t>
      </w:r>
    </w:p>
    <w:p>
      <w:pPr>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-инфраструктуры, подлежащей газификации.</w:t>
      </w:r>
    </w:p>
    <w:p>
      <w:pPr>
        <w:tabs>
          <w:tab w:val="left" w:pos="900"/>
        </w:tabs>
        <w:spacing w:after="0"/>
        <w:ind w:firstLine="42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Трассы газопровода выбраны преимущественно вдоль существующих автодорог, с минимальным пересечением существующих преград.</w:t>
      </w:r>
    </w:p>
    <w:p>
      <w:pPr>
        <w:tabs>
          <w:tab w:val="left" w:pos="709"/>
          <w:tab w:val="left" w:pos="9163"/>
        </w:tabs>
        <w:spacing w:line="240" w:lineRule="auto"/>
        <w:contextualSpacing/>
        <w:jc w:val="both"/>
        <w:rPr>
          <w:rFonts w:ascii="Calibri" w:hAnsi="Calibri" w:eastAsia="Times New Roman" w:cs="Times New Roman"/>
          <w:lang w:eastAsia="ru-RU"/>
        </w:rPr>
      </w:pPr>
    </w:p>
    <w:p>
      <w:pPr>
        <w:keepNext/>
        <w:keepLines/>
        <w:spacing w:before="480" w:after="0" w:line="240" w:lineRule="auto"/>
        <w:ind w:right="-143" w:firstLine="709"/>
        <w:contextualSpacing/>
        <w:outlineLvl w:val="0"/>
        <w:rPr>
          <w:rFonts w:ascii="Times New Roman" w:hAnsi="Times New Roman" w:eastAsia="Times New Roman" w:cs="Times New Roman"/>
          <w:b/>
          <w:bCs/>
          <w:sz w:val="24"/>
          <w:szCs w:val="24"/>
          <w:lang w:eastAsia="ru-RU"/>
        </w:rPr>
      </w:pPr>
      <w:r>
        <w:rPr>
          <w:rFonts w:ascii="Times New Roman" w:hAnsi="Times New Roman" w:eastAsia="Calibri" w:cs="Times New Roman"/>
          <w:b/>
          <w:bCs/>
          <w:sz w:val="24"/>
          <w:szCs w:val="24"/>
          <w:lang w:eastAsia="ru-RU"/>
        </w:rPr>
        <w:t xml:space="preserve">2.10. </w:t>
      </w:r>
      <w:r>
        <w:rPr>
          <w:rFonts w:ascii="Times New Roman" w:hAnsi="Times New Roman" w:eastAsia="Times New Roman" w:cs="Times New Roman"/>
          <w:b/>
          <w:bCs/>
          <w:sz w:val="24"/>
          <w:szCs w:val="24"/>
          <w:lang w:eastAsia="ru-RU"/>
        </w:rPr>
        <w:t>РИСК УЯЗВИМОСТИ ТЕРРИТОРИИ ОТ ПРИРОДНЫХ И ТЕХНОГЕННЫХ ЧРЕЗВЫЧАЙНЫХ СИТУАЦИЙ</w:t>
      </w:r>
    </w:p>
    <w:p>
      <w:pPr>
        <w:rPr>
          <w:rFonts w:ascii="Calibri" w:hAnsi="Calibri" w:eastAsia="Times New Roman" w:cs="Times New Roman"/>
          <w:lang w:eastAsia="ru-RU"/>
        </w:rPr>
      </w:pPr>
    </w:p>
    <w:p>
      <w:pPr>
        <w:tabs>
          <w:tab w:val="left" w:pos="709"/>
        </w:tabs>
        <w:spacing w:line="240" w:lineRule="auto"/>
        <w:ind w:firstLine="426"/>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На сегодняшний день на территории Дмитриевского сельского  поселения имеют место опасности и угрозы различного характера, которые обуславливают необходимость принятия мер по защите от них населения и территорий.</w:t>
      </w:r>
    </w:p>
    <w:p>
      <w:pPr>
        <w:spacing w:line="240" w:lineRule="auto"/>
        <w:ind w:firstLine="426"/>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Планирование и реализация этих мер по защите населения и территорий требуют, прежде всего, выявления этих опасностей и угроз, их характера, степени риска для конкретных территорий, что позволит сконцентрировать усилия на наиболее опасных направлениях. </w:t>
      </w:r>
      <w:r>
        <w:rPr>
          <w:rFonts w:ascii="Times New Roman" w:hAnsi="Times New Roman" w:eastAsia="Times New Roman" w:cs="Times New Roman"/>
          <w:color w:val="000000"/>
          <w:sz w:val="24"/>
          <w:szCs w:val="24"/>
          <w:lang w:eastAsia="ru-RU"/>
        </w:rPr>
        <w:t>В целях дифференцированного подхода к планированию предупредительных мероприятий осуществляется зонирование территории по критериям природного и техногенного рисков.</w:t>
      </w:r>
    </w:p>
    <w:p>
      <w:pPr>
        <w:spacing w:line="240" w:lineRule="auto"/>
        <w:ind w:firstLine="426"/>
        <w:contextualSpacing/>
        <w:jc w:val="both"/>
        <w:rPr>
          <w:rFonts w:ascii="Times New Roman" w:hAnsi="Times New Roman" w:eastAsia="Times New Roman" w:cs="Times New Roman"/>
          <w:b/>
          <w:color w:val="1F497D"/>
          <w:sz w:val="24"/>
          <w:szCs w:val="24"/>
          <w:lang w:eastAsia="ru-RU"/>
        </w:rPr>
      </w:pPr>
      <w:bookmarkStart w:id="26" w:name="_Toc281211589"/>
    </w:p>
    <w:p>
      <w:pPr>
        <w:spacing w:line="240" w:lineRule="auto"/>
        <w:ind w:firstLine="426"/>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Природные </w:t>
      </w:r>
      <w:bookmarkEnd w:id="26"/>
      <w:r>
        <w:rPr>
          <w:rFonts w:ascii="Times New Roman" w:hAnsi="Times New Roman" w:eastAsia="Times New Roman" w:cs="Times New Roman"/>
          <w:b/>
          <w:sz w:val="24"/>
          <w:szCs w:val="24"/>
          <w:lang w:eastAsia="ru-RU"/>
        </w:rPr>
        <w:t>опасные процессы и явления</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соответствии с ГОСТ Р 22.0.03-95 «Природные чрезвычайные ситуации» в качестве источника природной чрезвычайной ситуации выступает опасное природное явление или процесс – событие природного происхождения, которое по своей интенсивности, масштабу распространения и продолжительности может вызвать поражающее воздействие на людей, объекты экономики и окружающую природную среду.</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Следует перечислить потенциально опасные процессы природного характера, которые могут временно привести к нарушению жизнеобеспечения населения в отдельных населенных пунктах района, авариям на коммунальных и энергетических сетях (обрыв линий связи и ЛЭП), а именно: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u w:val="single"/>
          <w:lang w:eastAsia="ru-RU"/>
        </w:rPr>
        <w:t>Гидрометеорологические процессы.</w:t>
      </w:r>
      <w:r>
        <w:rPr>
          <w:rFonts w:ascii="Times New Roman" w:hAnsi="Times New Roman" w:eastAsia="Times New Roman" w:cs="Times New Roman"/>
          <w:sz w:val="24"/>
          <w:szCs w:val="24"/>
          <w:lang w:eastAsia="ru-RU"/>
        </w:rPr>
        <w:t xml:space="preserve"> Сильный (ураганный) ветер, сильные продолжительные дожди, сильные продолжительные снегопады. Сильный ветер, в сочетании с осадками и другими атмосферными явлениями (грозовые разряды, град, ледообразование). Эти процессы могут повлечь за собой падение деревьев, повреждения кровельного покрытия и окон зданий, подтопление подвальных помещений, временное затопление улиц, временное блокирование проезда по улицам, образование гололеда на автодорогах.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u w:val="single"/>
          <w:lang w:eastAsia="ru-RU"/>
        </w:rPr>
        <w:t>Геологические процессы.</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В основном это развитие эрозионных процессов, вследствие которых, например, при росте овражно-балочной сети, есть риск подмыва или размыва дорожного полотна, некоторых зданий, также выводятся из оборота сельскохозяйственные земли; карстово-суффозионные процессы.</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Оползни, карстовые провалы на территории центром управления в кризисных ситуациях МЧС России по ивановской области не зарегистрировано.</w:t>
      </w:r>
    </w:p>
    <w:p>
      <w:pPr>
        <w:spacing w:line="240" w:lineRule="auto"/>
        <w:ind w:firstLine="426"/>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Риски возникновения землетрясения отсутствуют. Риски обрушения зданий и сооружений маловероятны.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u w:val="single"/>
          <w:lang w:eastAsia="ru-RU"/>
        </w:rPr>
        <w:t>Гидрогеологические процессы</w:t>
      </w:r>
      <w:r>
        <w:rPr>
          <w:rFonts w:ascii="Times New Roman" w:hAnsi="Times New Roman" w:eastAsia="Times New Roman" w:cs="Times New Roman"/>
          <w:sz w:val="24"/>
          <w:szCs w:val="24"/>
          <w:lang w:eastAsia="ru-RU"/>
        </w:rPr>
        <w:t>. Режим рек территории относится к восточноевропейскому типу, который характеризуется высоким весенним половодьем, низкой летней и зимней меженью и повышенным осенним стоком за счет дождей. Есть вероятность заболачивания территории, что приводит к выводу из использования сельскохозяйственных земель.</w:t>
      </w:r>
    </w:p>
    <w:p>
      <w:pPr>
        <w:spacing w:line="240" w:lineRule="auto"/>
        <w:ind w:firstLine="426"/>
        <w:contextualSpacing/>
        <w:jc w:val="both"/>
        <w:rPr>
          <w:rFonts w:ascii="Times New Roman" w:hAnsi="Times New Roman" w:eastAsia="Times New Roman" w:cs="Times New Roman"/>
          <w:sz w:val="24"/>
          <w:szCs w:val="24"/>
          <w:lang w:eastAsia="ru-RU"/>
        </w:rPr>
      </w:pPr>
    </w:p>
    <w:p>
      <w:pPr>
        <w:spacing w:line="240" w:lineRule="auto"/>
        <w:ind w:firstLine="426"/>
        <w:contextualSpacing/>
        <w:jc w:val="both"/>
        <w:rPr>
          <w:rFonts w:ascii="Times New Roman" w:hAnsi="Times New Roman" w:eastAsia="Times New Roman" w:cs="Times New Roman"/>
          <w:sz w:val="24"/>
          <w:szCs w:val="24"/>
          <w:lang w:eastAsia="ru-RU"/>
        </w:rPr>
      </w:pPr>
    </w:p>
    <w:p>
      <w:pPr>
        <w:spacing w:line="240" w:lineRule="auto"/>
        <w:ind w:firstLine="426"/>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Природные пожары</w:t>
      </w:r>
      <w:r>
        <w:rPr>
          <w:rFonts w:ascii="Times New Roman" w:hAnsi="Times New Roman" w:eastAsia="Times New Roman" w:cs="Times New Roman"/>
          <w:i/>
          <w:sz w:val="24"/>
          <w:szCs w:val="24"/>
          <w:lang w:eastAsia="ru-RU"/>
        </w:rPr>
        <w:t xml:space="preserve"> </w:t>
      </w:r>
    </w:p>
    <w:p>
      <w:pPr>
        <w:spacing w:line="240" w:lineRule="auto"/>
        <w:ind w:firstLine="426"/>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Лесистость поселения составляет 50%.</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sz w:val="24"/>
          <w:szCs w:val="24"/>
          <w:lang w:eastAsia="ru-RU"/>
        </w:rPr>
        <w:t>Средний класс пожарной опасности – I</w:t>
      </w:r>
      <w:r>
        <w:rPr>
          <w:rFonts w:ascii="Times New Roman" w:hAnsi="Times New Roman" w:eastAsia="Times New Roman" w:cs="Times New Roman"/>
          <w:sz w:val="24"/>
          <w:szCs w:val="24"/>
          <w:lang w:val="en-US" w:eastAsia="ru-RU"/>
        </w:rPr>
        <w:t>II</w:t>
      </w:r>
      <w:r>
        <w:rPr>
          <w:rFonts w:ascii="Times New Roman" w:hAnsi="Times New Roman" w:eastAsia="Times New Roman" w:cs="Times New Roman"/>
          <w:sz w:val="24"/>
          <w:szCs w:val="24"/>
          <w:lang w:eastAsia="ru-RU"/>
        </w:rPr>
        <w:t xml:space="preserve">. </w:t>
      </w:r>
    </w:p>
    <w:p>
      <w:pPr>
        <w:spacing w:line="240" w:lineRule="auto"/>
        <w:ind w:firstLine="426"/>
        <w:contextualSpacing/>
        <w:jc w:val="both"/>
        <w:rPr>
          <w:rFonts w:ascii="Times New Roman" w:hAnsi="Times New Roman" w:eastAsia="Times New Roman" w:cs="Times New Roman"/>
          <w:bCs/>
          <w:color w:val="FF0000"/>
          <w:sz w:val="24"/>
          <w:szCs w:val="24"/>
          <w:lang w:eastAsia="ru-RU"/>
        </w:rPr>
      </w:pPr>
      <w:r>
        <w:rPr>
          <w:rFonts w:ascii="Times New Roman" w:hAnsi="Times New Roman" w:eastAsia="Times New Roman" w:cs="Times New Roman"/>
          <w:bCs/>
          <w:sz w:val="24"/>
          <w:szCs w:val="24"/>
          <w:lang w:eastAsia="ru-RU"/>
        </w:rPr>
        <w:t>Количество очагов лесных пожаров и их площадь прогнозируется на уровне средних многолетних значений</w:t>
      </w:r>
      <w:r>
        <w:rPr>
          <w:rFonts w:ascii="Times New Roman" w:hAnsi="Times New Roman" w:eastAsia="Times New Roman" w:cs="Times New Roman"/>
          <w:bCs/>
          <w:color w:val="FF0000"/>
          <w:sz w:val="24"/>
          <w:szCs w:val="24"/>
          <w:lang w:eastAsia="ru-RU"/>
        </w:rPr>
        <w:t>.</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Продолжительность пожароопасного сезона обуславливается умеренно-континентальными природными условиями и составляет в среднем 160 дней (свыше 5 месяцев). Наибольшее количество пожаров прогнозируется в периоды:</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конец апреля, первая половина мая: связано с проведением неконтролируемых сельхозпалов;</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третья декада июня, первая декада июля: начало интенсивного посещения лесов населением в связи со сбором ягод;</w:t>
      </w:r>
    </w:p>
    <w:p>
      <w:pPr>
        <w:spacing w:line="240" w:lineRule="auto"/>
        <w:ind w:left="283" w:firstLine="426"/>
        <w:contextualSpacing/>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bCs/>
          <w:sz w:val="24"/>
          <w:szCs w:val="24"/>
          <w:lang w:eastAsia="ru-RU"/>
        </w:rPr>
        <w:t>август-сентябрь: посещение лесов населением в связи с началом грибного сезона.</w:t>
      </w:r>
    </w:p>
    <w:p>
      <w:pPr>
        <w:spacing w:line="240" w:lineRule="auto"/>
        <w:ind w:firstLine="426"/>
        <w:contextualSpacing/>
        <w:rPr>
          <w:rFonts w:ascii="Times New Roman" w:hAnsi="Times New Roman" w:eastAsia="Times New Roman" w:cs="Times New Roman"/>
          <w:sz w:val="24"/>
          <w:szCs w:val="24"/>
          <w:lang w:eastAsia="ru-RU"/>
        </w:rPr>
      </w:pPr>
      <w:bookmarkStart w:id="27" w:name="_Toc281211590"/>
      <w:r>
        <w:rPr>
          <w:rFonts w:ascii="Times New Roman" w:hAnsi="Times New Roman" w:eastAsia="Times New Roman" w:cs="Times New Roman"/>
          <w:sz w:val="24"/>
          <w:szCs w:val="24"/>
          <w:lang w:eastAsia="ru-RU"/>
        </w:rPr>
        <w:t>Населенных пунктов, важных объектов экономики, которые могут оказаться в зоне высокой пожарной опасности на территории поселения нет.</w:t>
      </w:r>
    </w:p>
    <w:p>
      <w:pPr>
        <w:spacing w:line="240" w:lineRule="auto"/>
        <w:ind w:firstLine="426"/>
        <w:contextualSpacing/>
        <w:jc w:val="both"/>
        <w:rPr>
          <w:rFonts w:ascii="Times New Roman" w:hAnsi="Times New Roman" w:eastAsia="Times New Roman" w:cs="Times New Roman"/>
          <w:b/>
          <w:sz w:val="24"/>
          <w:szCs w:val="24"/>
          <w:lang w:eastAsia="ru-RU"/>
        </w:rPr>
      </w:pPr>
    </w:p>
    <w:p>
      <w:pPr>
        <w:spacing w:line="240" w:lineRule="auto"/>
        <w:ind w:firstLine="426"/>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Техногенные источники опасности </w:t>
      </w:r>
      <w:bookmarkEnd w:id="27"/>
      <w:r>
        <w:rPr>
          <w:rFonts w:ascii="Times New Roman" w:hAnsi="Times New Roman" w:eastAsia="Times New Roman" w:cs="Times New Roman"/>
          <w:b/>
          <w:sz w:val="24"/>
          <w:szCs w:val="24"/>
          <w:lang w:eastAsia="ru-RU"/>
        </w:rPr>
        <w:t>в промышленности, транспорте и объектах ЖКХ</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техногенным источникам возникновения чрезвычайных ситуаций в соответствии с ГОСТ 22.0.05-97 относятся потенциально опасные объекты экономики, на которых возможны следующие события:</w:t>
      </w:r>
    </w:p>
    <w:p>
      <w:pPr>
        <w:spacing w:line="240" w:lineRule="auto"/>
        <w:ind w:firstLine="426"/>
        <w:contextualSpacing/>
        <w:rPr>
          <w:rFonts w:ascii="Times New Roman" w:hAnsi="Times New Roman" w:eastAsia="Times New Roman" w:cs="Times New Roman"/>
          <w:b/>
          <w:i/>
          <w:sz w:val="24"/>
          <w:szCs w:val="24"/>
          <w:u w:val="single"/>
          <w:lang w:eastAsia="ru-RU"/>
        </w:rPr>
      </w:pPr>
    </w:p>
    <w:p>
      <w:pPr>
        <w:spacing w:line="240" w:lineRule="auto"/>
        <w:ind w:firstLine="426"/>
        <w:contextualSpacing/>
        <w:rPr>
          <w:rFonts w:ascii="Times New Roman" w:hAnsi="Times New Roman" w:eastAsia="Times New Roman" w:cs="Times New Roman"/>
          <w:b/>
          <w:i/>
          <w:sz w:val="24"/>
          <w:szCs w:val="24"/>
          <w:u w:val="single"/>
          <w:lang w:eastAsia="ru-RU"/>
        </w:rPr>
      </w:pPr>
      <w:r>
        <w:rPr>
          <w:rFonts w:ascii="Times New Roman" w:hAnsi="Times New Roman" w:eastAsia="Times New Roman" w:cs="Times New Roman"/>
          <w:b/>
          <w:i/>
          <w:sz w:val="24"/>
          <w:szCs w:val="24"/>
          <w:u w:val="single"/>
          <w:lang w:eastAsia="ru-RU"/>
        </w:rPr>
        <w:t>Промышленные аварии и катастрофы</w:t>
      </w:r>
    </w:p>
    <w:p>
      <w:pPr>
        <w:numPr>
          <w:ilvl w:val="0"/>
          <w:numId w:val="27"/>
        </w:numPr>
        <w:tabs>
          <w:tab w:val="left" w:pos="-5400"/>
        </w:tabs>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Радиоактивно опасные объекты</w:t>
      </w:r>
      <w:r>
        <w:rPr>
          <w:rFonts w:ascii="Times New Roman" w:hAnsi="Times New Roman" w:eastAsia="Times New Roman" w:cs="Times New Roman"/>
          <w:sz w:val="24"/>
          <w:szCs w:val="24"/>
          <w:lang w:eastAsia="ru-RU"/>
        </w:rPr>
        <w:t>. На территории сельского поселения отсутствуют ядерно- и радиационно-опасные объекты, аварии на которых могут представлять угрозу возникновения ЧС.</w:t>
      </w:r>
    </w:p>
    <w:p>
      <w:pPr>
        <w:numPr>
          <w:ilvl w:val="0"/>
          <w:numId w:val="27"/>
        </w:numPr>
        <w:tabs>
          <w:tab w:val="left" w:pos="-5400"/>
        </w:tabs>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Химически опасные объекты экономики (ХОО)</w:t>
      </w:r>
      <w:r>
        <w:rPr>
          <w:rFonts w:ascii="Times New Roman" w:hAnsi="Times New Roman" w:eastAsia="Times New Roman" w:cs="Times New Roman"/>
          <w:sz w:val="24"/>
          <w:szCs w:val="24"/>
          <w:lang w:eastAsia="ru-RU"/>
        </w:rPr>
        <w:t>. На территории сельского поселения отсутствуют опасные химические объекты, аварии на которых могут представлять угрозу возникновения ЧС.</w:t>
      </w:r>
    </w:p>
    <w:p>
      <w:pPr>
        <w:numPr>
          <w:ilvl w:val="0"/>
          <w:numId w:val="27"/>
        </w:numPr>
        <w:tabs>
          <w:tab w:val="left" w:pos="-5400"/>
          <w:tab w:val="left" w:pos="1418"/>
          <w:tab w:val="left" w:pos="5245"/>
          <w:tab w:val="left" w:pos="5387"/>
        </w:tabs>
        <w:spacing w:after="0" w:line="240" w:lineRule="auto"/>
        <w:ind w:left="0" w:firstLine="426"/>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i/>
          <w:sz w:val="24"/>
          <w:szCs w:val="24"/>
          <w:lang w:eastAsia="ru-RU"/>
        </w:rPr>
        <w:t xml:space="preserve">Пожароопасные и взрывоопасные объекты экономики. </w:t>
      </w:r>
      <w:r>
        <w:rPr>
          <w:rFonts w:ascii="Times New Roman" w:hAnsi="Times New Roman" w:eastAsia="Times New Roman" w:cs="Times New Roman"/>
          <w:sz w:val="24"/>
          <w:szCs w:val="24"/>
          <w:lang w:eastAsia="ru-RU"/>
        </w:rPr>
        <w:t>На территории Дмитриевского сельского поселения отсутствуют пожаровзрывоопасные объекты.</w:t>
      </w:r>
      <w:r>
        <w:rPr>
          <w:rFonts w:ascii="Times New Roman" w:hAnsi="Times New Roman" w:eastAsia="Times New Roman" w:cs="Times New Roman"/>
          <w:i/>
          <w:sz w:val="24"/>
          <w:szCs w:val="24"/>
          <w:lang w:eastAsia="ru-RU"/>
        </w:rPr>
        <w:t xml:space="preserve"> </w:t>
      </w:r>
      <w:r>
        <w:rPr>
          <w:rFonts w:ascii="Times New Roman" w:hAnsi="Times New Roman" w:eastAsia="Times New Roman" w:cs="Times New Roman"/>
          <w:sz w:val="24"/>
          <w:szCs w:val="24"/>
          <w:lang w:eastAsia="ar-SA"/>
        </w:rPr>
        <w:t xml:space="preserve">По территории поселения проходят межпоселковые газопроводы. </w:t>
      </w:r>
    </w:p>
    <w:p>
      <w:pPr>
        <w:spacing w:before="120" w:after="120" w:line="240" w:lineRule="auto"/>
        <w:ind w:firstLine="426"/>
        <w:contextualSpacing/>
        <w:rPr>
          <w:rFonts w:ascii="Times New Roman" w:hAnsi="Times New Roman" w:eastAsia="Times New Roman" w:cs="Times New Roman"/>
          <w:b/>
          <w:i/>
          <w:sz w:val="24"/>
          <w:szCs w:val="24"/>
          <w:u w:val="single"/>
          <w:lang w:eastAsia="ru-RU"/>
        </w:rPr>
      </w:pPr>
    </w:p>
    <w:p>
      <w:pPr>
        <w:spacing w:before="120" w:after="120" w:line="240" w:lineRule="auto"/>
        <w:ind w:firstLine="426"/>
        <w:contextualSpacing/>
        <w:rPr>
          <w:rFonts w:ascii="Times New Roman" w:hAnsi="Times New Roman" w:eastAsia="Times New Roman" w:cs="Times New Roman"/>
          <w:b/>
          <w:i/>
          <w:sz w:val="24"/>
          <w:szCs w:val="24"/>
          <w:u w:val="single"/>
          <w:lang w:eastAsia="ru-RU"/>
        </w:rPr>
      </w:pPr>
      <w:r>
        <w:rPr>
          <w:rFonts w:ascii="Times New Roman" w:hAnsi="Times New Roman" w:eastAsia="Times New Roman" w:cs="Times New Roman"/>
          <w:b/>
          <w:i/>
          <w:sz w:val="24"/>
          <w:szCs w:val="24"/>
          <w:u w:val="single"/>
          <w:lang w:eastAsia="ru-RU"/>
        </w:rPr>
        <w:t>Опасные происшествия на транспорте</w:t>
      </w:r>
    </w:p>
    <w:p>
      <w:pPr>
        <w:spacing w:after="120"/>
        <w:ind w:left="283" w:firstLine="426"/>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Транспорт является источником опасности не только для пассажиров, но и для населения, проживающего в зонах транспортных магистралей, поскольку по ним перевозятся легковоспламеняющиеся, химические, горючее и другие вещества. </w:t>
      </w:r>
    </w:p>
    <w:p>
      <w:pPr>
        <w:spacing w:after="120"/>
        <w:ind w:left="283" w:firstLine="426"/>
        <w:rPr>
          <w:rFonts w:ascii="Times New Roman" w:hAnsi="Times New Roman" w:eastAsia="Times New Roman" w:cs="Times New Roman"/>
          <w:i/>
          <w:sz w:val="24"/>
          <w:lang w:eastAsia="ru-RU"/>
        </w:rPr>
      </w:pPr>
      <w:r>
        <w:rPr>
          <w:rFonts w:ascii="Times New Roman" w:hAnsi="Times New Roman" w:eastAsia="Times New Roman" w:cs="Times New Roman"/>
          <w:sz w:val="24"/>
          <w:lang w:eastAsia="ru-RU"/>
        </w:rPr>
        <w:t>По территории Дмитриевского сельского поселения проходят два маршрута перевозки опасных грузов по линии автомобильных дорог.</w:t>
      </w:r>
    </w:p>
    <w:p>
      <w:pPr>
        <w:spacing w:line="240" w:lineRule="auto"/>
        <w:ind w:firstLine="426"/>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Автомобильный транспорт</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Источником опасности на транспорте являются дорожно-транспортные происшествия (ДТП).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Большая часть происшествий происходит из-за нарушения правил дорожного движения. Тенденция увеличения количества ДТП и количества людей, погибших и пострадавших в ДТП, связана и с возросшим количеством автомобильного транспорта, принадлежащего физическим лицам и оборудованием автомобильных дорог. Причинами ДТП продолжают оставаться плохое состояние дорожного покрытия, отсутствие разметки на дорогах.</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Неудовлетворительное состояние отдельных участков дорог, отсутствие знаков дорожного движения на наиболее опасных участках, наличие нерегулируемых железнодорожных переездов могут привести к чрезвычайным ситуациям на автодорогах муниципального района.</w:t>
      </w:r>
    </w:p>
    <w:p>
      <w:pPr>
        <w:spacing w:line="240" w:lineRule="auto"/>
        <w:ind w:firstLine="426"/>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Воздушный транспорт</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Риски возникновения ЧС на воздушном транспорте отсутствуют по причине отсутствия коридоров пролета воздушных судов и вертолетных площадок на территории района.</w:t>
      </w:r>
    </w:p>
    <w:p>
      <w:pPr>
        <w:spacing w:line="240" w:lineRule="auto"/>
        <w:ind w:firstLine="426"/>
        <w:contextualSpacing/>
        <w:jc w:val="both"/>
        <w:rPr>
          <w:rFonts w:ascii="Times New Roman" w:hAnsi="Times New Roman" w:eastAsia="Times New Roman" w:cs="Times New Roman"/>
          <w:sz w:val="24"/>
          <w:szCs w:val="24"/>
          <w:lang w:eastAsia="ru-RU"/>
        </w:rPr>
      </w:pPr>
    </w:p>
    <w:p>
      <w:pPr>
        <w:spacing w:before="120" w:after="120" w:line="240" w:lineRule="auto"/>
        <w:ind w:left="709" w:firstLine="426"/>
        <w:contextualSpacing/>
        <w:jc w:val="both"/>
        <w:rPr>
          <w:rFonts w:ascii="Times New Roman" w:hAnsi="Times New Roman" w:eastAsia="Times New Roman" w:cs="Times New Roman"/>
          <w:sz w:val="24"/>
          <w:szCs w:val="24"/>
          <w:highlight w:val="yellow"/>
          <w:u w:val="single"/>
          <w:lang w:eastAsia="ru-RU"/>
        </w:rPr>
      </w:pPr>
      <w:r>
        <w:rPr>
          <w:rFonts w:ascii="Times New Roman" w:hAnsi="Times New Roman" w:eastAsia="Times New Roman" w:cs="Times New Roman"/>
          <w:b/>
          <w:i/>
          <w:sz w:val="24"/>
          <w:szCs w:val="24"/>
          <w:u w:val="single"/>
          <w:lang w:eastAsia="ru-RU"/>
        </w:rPr>
        <w:t>Возникновение аварий на системах жилищно-коммунального хозяйства (ЖКХ)</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районе существует риск возникновения чрезвычайных ситуаций на объектах ЖКХ. Анализ угроз, обусловленных техническим состоянием объектов жилищно-коммунального хозяйства, показал, что из-за значительного физического износа наибольшую опасность представляют следующие объекты:</w:t>
      </w:r>
    </w:p>
    <w:p>
      <w:pPr>
        <w:numPr>
          <w:ilvl w:val="0"/>
          <w:numId w:val="28"/>
        </w:numPr>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котельные;</w:t>
      </w:r>
    </w:p>
    <w:p>
      <w:pPr>
        <w:numPr>
          <w:ilvl w:val="0"/>
          <w:numId w:val="28"/>
        </w:numPr>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трансформаторные электрические подстанции;</w:t>
      </w:r>
    </w:p>
    <w:p>
      <w:pPr>
        <w:numPr>
          <w:ilvl w:val="0"/>
          <w:numId w:val="28"/>
        </w:numPr>
        <w:spacing w:after="0" w:line="240" w:lineRule="auto"/>
        <w:ind w:left="0"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сети (тепловые, электрические и др.).</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поселения существует риск возникновения чрезвычайных ситуаций на объектах ЖКХ. За последние пять лет аварий не зафиксировано. </w:t>
      </w:r>
    </w:p>
    <w:p>
      <w:pPr>
        <w:spacing w:before="240" w:line="240" w:lineRule="auto"/>
        <w:ind w:firstLine="426"/>
        <w:contextualSpacing/>
        <w:jc w:val="both"/>
        <w:rPr>
          <w:rFonts w:ascii="Times New Roman" w:hAnsi="Times New Roman" w:eastAsia="Times New Roman" w:cs="Times New Roman"/>
          <w:b/>
          <w:i/>
          <w:sz w:val="24"/>
          <w:szCs w:val="24"/>
          <w:u w:val="single"/>
          <w:lang w:eastAsia="ru-RU"/>
        </w:rPr>
      </w:pPr>
    </w:p>
    <w:p>
      <w:pPr>
        <w:spacing w:before="240" w:line="240" w:lineRule="auto"/>
        <w:ind w:firstLine="426"/>
        <w:contextualSpacing/>
        <w:jc w:val="both"/>
        <w:rPr>
          <w:rFonts w:ascii="Times New Roman" w:hAnsi="Times New Roman" w:eastAsia="Times New Roman" w:cs="Times New Roman"/>
          <w:sz w:val="24"/>
          <w:szCs w:val="24"/>
          <w:u w:val="single"/>
          <w:lang w:eastAsia="ru-RU"/>
        </w:rPr>
      </w:pPr>
      <w:r>
        <w:rPr>
          <w:rFonts w:ascii="Times New Roman" w:hAnsi="Times New Roman" w:eastAsia="Times New Roman" w:cs="Times New Roman"/>
          <w:b/>
          <w:i/>
          <w:sz w:val="24"/>
          <w:szCs w:val="24"/>
          <w:u w:val="single"/>
          <w:lang w:eastAsia="ru-RU"/>
        </w:rPr>
        <w:t>Пожарная безопасность</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соответствии со статьями 62 и 68 Федерального Закона от 22.07.2008 г. №123-ФЗ «Технический регламент о требованиях пожарной безопасности», сводом правил «Системы противопожарной защиты. Источники наружного противопожарного водоснабжения. Требования пожарной безопасности» (СП 8.13130.2009), а также Правилами пожарной безопасности в РФ (ППБ 01-03) на территориях поселений и городских округов необходимо предусматривать оборудование наружных водопроводных сетей с пожарными гидрантами. Расстановка пожарных гидрантов должна обеспечивать пожаротушение любого обслуживаемого данной сетью здания, сооружения или его части не менее чем от 2-х гидрантов с учетом прокладки рукавных линий длиной не более 200 м.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Согласно регламенту (для поселений и городских округов с количеством жителей до 5000 чел.), допускается предусматривать в качестве источников наружного противопожарного водоснабжения природные и искусственные водоемы.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соответствии с требованиями статьи 76 Федерального Закона от 22.07.2008. г. №123-ФЗ «Технический регламент о требованиях пожарной безопасности» дислокация подразделений пожарной охраны на территориях поселений и городских округов должна определяться исходя из условий, что время прибытия первого пожарного подразделения к месту вызова в городских подразделениях и городских округах не должно превышать 10 минут, а в сельских – 20 минут.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Пожароопасными участками в населенных пунктах Дмитриевского сельского поселения  являются здания деревянной застройки.</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Для быстроты реагирования в случае пожаров данным проектом предусматривается обустройство пожарных водоемов, при строительстве и реконструкции линий водоснабжения — устройство пожарных гидрантов.</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Ликвидация аварий, если таковые будут иметь место, будут осуществляться силами и средствами подразделений, обслуживающих данный межпоселковый газопровод, с привлечением сил и средств противопожарной службы, а при необходимости сил и средств специализированных подразделений Управления ГОиЧС Ивановской области.</w:t>
      </w:r>
    </w:p>
    <w:p>
      <w:pPr>
        <w:spacing w:line="240" w:lineRule="auto"/>
        <w:ind w:firstLine="426"/>
        <w:contextualSpacing/>
        <w:jc w:val="both"/>
        <w:rPr>
          <w:rFonts w:ascii="Times New Roman" w:hAnsi="Times New Roman" w:eastAsia="Times New Roman" w:cs="Times New Roman"/>
          <w:sz w:val="24"/>
          <w:szCs w:val="24"/>
          <w:lang w:eastAsia="ru-RU"/>
        </w:rPr>
      </w:pPr>
    </w:p>
    <w:p>
      <w:pPr>
        <w:spacing w:line="240" w:lineRule="auto"/>
        <w:ind w:firstLine="426"/>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Биолого-социальные опасности</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Вероятность возникновения инфекционной заболеваемости людей чрезвычайного характера составляет менее 0,1. Зон неблагоприятных по СЭП нет. За последние пять лет эпидемий не зафиксировано. </w:t>
      </w:r>
    </w:p>
    <w:p>
      <w:pPr>
        <w:spacing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поселения расположено 8 действующих кладбищ, и 2 скотомогильника. Есть вероятность распространения возбудителей инфекционных болезней в случае их частичного или полного разрушения (подтопления).</w:t>
      </w:r>
    </w:p>
    <w:p>
      <w:pPr>
        <w:tabs>
          <w:tab w:val="left" w:pos="709"/>
          <w:tab w:val="left" w:pos="9163"/>
        </w:tabs>
        <w:spacing w:line="240" w:lineRule="auto"/>
        <w:contextualSpacing/>
        <w:jc w:val="both"/>
        <w:rPr>
          <w:rFonts w:ascii="Calibri" w:hAnsi="Calibri" w:eastAsia="Times New Roman" w:cs="Times New Roman"/>
          <w:lang w:eastAsia="ru-RU"/>
        </w:rPr>
      </w:pPr>
    </w:p>
    <w:p>
      <w:pPr>
        <w:keepNext/>
        <w:keepLines/>
        <w:spacing w:before="480" w:after="0" w:line="240" w:lineRule="auto"/>
        <w:ind w:right="-1" w:firstLine="709"/>
        <w:contextualSpacing/>
        <w:outlineLvl w:val="0"/>
        <w:rPr>
          <w:rFonts w:ascii="Times New Roman" w:hAnsi="Times New Roman" w:eastAsia="Calibri" w:cs="Times New Roman"/>
          <w:b/>
          <w:bCs/>
          <w:iCs/>
          <w:sz w:val="24"/>
          <w:szCs w:val="24"/>
          <w:lang w:eastAsia="ru-RU"/>
        </w:rPr>
      </w:pPr>
      <w:r>
        <w:rPr>
          <w:rFonts w:ascii="Times New Roman" w:hAnsi="Times New Roman" w:eastAsia="Calibri" w:cs="Times New Roman"/>
          <w:b/>
          <w:bCs/>
          <w:sz w:val="24"/>
          <w:szCs w:val="24"/>
          <w:lang w:eastAsia="ru-RU"/>
        </w:rPr>
        <w:t>2.11. ЗОНЫ С ОСОБЫМИ УСЛОВИЯМИ ИСПОЛЬЗОВАНИЯ ТЕРРИТОРИИ И ГРАДОСТРОИТЕЛЬНЫЕ ОГРАНИЧЕНИЯ</w:t>
      </w:r>
    </w:p>
    <w:p>
      <w:pPr>
        <w:rPr>
          <w:rFonts w:ascii="Calibri" w:hAnsi="Calibri" w:eastAsia="Times New Roman" w:cs="Times New Roman"/>
          <w:lang w:eastAsia="ru-RU"/>
        </w:rPr>
      </w:pP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Анализ территориальных ресурсов сельского поселения выполнен с учетом действующей системы планировочных ограничений. Система планировочных ограничений разработана на основании требований действующих нормативных документов и является составной частью комплексной градостроительной оценки территории.</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К основным зонам регламентированного градостроительного использования территории по природно-ресурсным, санитарно-гигиеническим, экологическим ограничениям относятся следующие:</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санитарно-защитные зоны (СЗЗ) от производственно-коммунальных объектов;</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СЗЗ от санитарно-технических и инженерно-технических объектов;</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охранные коридоры транспортных и инженерных коммуникаций;</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водоохранные зоны;</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особо охраняемые природные территории.</w:t>
      </w:r>
    </w:p>
    <w:p>
      <w:pPr>
        <w:tabs>
          <w:tab w:val="left" w:pos="709"/>
        </w:tabs>
        <w:spacing w:after="0" w:line="240" w:lineRule="auto"/>
        <w:ind w:left="425"/>
        <w:contextualSpacing/>
        <w:jc w:val="both"/>
        <w:rPr>
          <w:rFonts w:ascii="Times New Roman" w:hAnsi="Times New Roman" w:eastAsia="Calibri" w:cs="Times New Roman"/>
          <w:iCs/>
          <w:color w:val="000000"/>
          <w:sz w:val="24"/>
          <w:szCs w:val="24"/>
          <w:lang w:eastAsia="ru-RU"/>
        </w:rPr>
      </w:pPr>
    </w:p>
    <w:p>
      <w:pPr>
        <w:widowControl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СЗЗ от производственных и коммунальных объектов</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По санитарно-технической классификации предприятия поселения делятся на предприятия:</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III класса СЗЗ – 300 м</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Нормативные СЗЗ предприятий и объектов установлены на основании СанПиН 2.2.1/2.1.1.1200-03 «Санитарно-защитные зоны и санитарная классификация предприятий, сооружений и иных объектов».</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Основные требования по организации и режимы использования территорий СЗЗ определены в СанПиН 2.2.1/2.1.1.1200-03 «Санитарно-защитные зоны и санитарная классификация предприятий, сооружений и иных объектов».</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Санитарно-защитные зоны являются обязательным элементом промышленного предприятия и объекта, являющегося источником химического, биологического или физического воздействия. Уровень загрязнения или уровень воздействия в ней выше нормативов, принятых для селитебных территорий. Предоставление земельных участков в границах санитарно-защитных зон производится при наличии заключения территориальных органов Роспотребнадзора об отсутствии нарушений санитарных норм и правил.</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В целях упорядочения организации СЗЗ предприятий для предотвращения вредного воздействия, на здоровье проживающего в них населения и в целях внедрения СанПин 2.2.1/2.1.1.1200-03 «Санитарно-защитные зоны и санитарная классификация предприятий, сооружений и иных объектов» необходимо разработать законодательную базу по организации СЗЗ промышленных предприятий на местном уровне.</w:t>
      </w:r>
    </w:p>
    <w:p>
      <w:pPr>
        <w:widowControl w:val="0"/>
        <w:spacing w:before="12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СЗЗ от санитарно-технических объектов</w:t>
      </w:r>
    </w:p>
    <w:p>
      <w:pPr>
        <w:numPr>
          <w:ilvl w:val="0"/>
          <w:numId w:val="29"/>
        </w:numPr>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санкционированные свалки СЗЗ-500 м;</w:t>
      </w:r>
    </w:p>
    <w:p>
      <w:pPr>
        <w:numPr>
          <w:ilvl w:val="0"/>
          <w:numId w:val="29"/>
        </w:numPr>
        <w:spacing w:after="0" w:line="240" w:lineRule="auto"/>
        <w:ind w:left="0" w:firstLine="425"/>
        <w:contextualSpacing/>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кладбища (площадью менее 10 га) - размер СЗЗ – 50 м;</w:t>
      </w:r>
    </w:p>
    <w:p>
      <w:pPr>
        <w:numPr>
          <w:ilvl w:val="0"/>
          <w:numId w:val="29"/>
        </w:numPr>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 xml:space="preserve">скотомогильник – 1000 м (устанавливается в соответствии с «Ветеринарно-санитарные правила сбора, утилизации и уничтожения биологических отходов», в ред. </w:t>
      </w:r>
      <w:r>
        <w:fldChar w:fldCharType="begin"/>
      </w:r>
      <w:r>
        <w:instrText xml:space="preserve"> HYPERLINK "consultantplus://offline/main?base=LAW;n=71004;fld=134;dst=100006" </w:instrText>
      </w:r>
      <w:r>
        <w:fldChar w:fldCharType="separate"/>
      </w:r>
      <w:r>
        <w:rPr>
          <w:rFonts w:ascii="Times New Roman" w:hAnsi="Times New Roman" w:eastAsia="Calibri" w:cs="Times New Roman"/>
          <w:iCs/>
          <w:color w:val="000000"/>
          <w:sz w:val="24"/>
          <w:szCs w:val="24"/>
          <w:lang w:eastAsia="ru-RU"/>
        </w:rPr>
        <w:t>Приказа</w:t>
      </w:r>
      <w:r>
        <w:rPr>
          <w:rFonts w:ascii="Times New Roman" w:hAnsi="Times New Roman" w:eastAsia="Calibri" w:cs="Times New Roman"/>
          <w:iCs/>
          <w:color w:val="000000"/>
          <w:sz w:val="24"/>
          <w:szCs w:val="24"/>
          <w:lang w:eastAsia="ru-RU"/>
        </w:rPr>
        <w:fldChar w:fldCharType="end"/>
      </w:r>
      <w:r>
        <w:rPr>
          <w:rFonts w:ascii="Times New Roman" w:hAnsi="Times New Roman" w:eastAsia="Calibri" w:cs="Times New Roman"/>
          <w:iCs/>
          <w:color w:val="000000"/>
          <w:sz w:val="24"/>
          <w:szCs w:val="24"/>
          <w:lang w:eastAsia="ru-RU"/>
        </w:rPr>
        <w:t xml:space="preserve"> Минсельхоза РФ от 16.08.2007 N 400).</w:t>
      </w:r>
    </w:p>
    <w:p>
      <w:pPr>
        <w:spacing w:line="240" w:lineRule="auto"/>
        <w:ind w:left="425"/>
        <w:contextualSpacing/>
        <w:jc w:val="both"/>
        <w:rPr>
          <w:rFonts w:ascii="Times New Roman" w:hAnsi="Times New Roman" w:eastAsia="Calibri" w:cs="Times New Roman"/>
          <w:b/>
          <w:iCs/>
          <w:color w:val="000000"/>
          <w:sz w:val="24"/>
          <w:szCs w:val="24"/>
          <w:lang w:eastAsia="ru-RU"/>
        </w:rPr>
      </w:pPr>
      <w:r>
        <w:rPr>
          <w:rFonts w:ascii="Times New Roman" w:hAnsi="Times New Roman" w:eastAsia="Calibri" w:cs="Times New Roman"/>
          <w:b/>
          <w:iCs/>
          <w:color w:val="000000"/>
          <w:sz w:val="24"/>
          <w:szCs w:val="24"/>
          <w:lang w:eastAsia="ru-RU"/>
        </w:rPr>
        <w:t>Охранные зоны источников водоснабжения</w:t>
      </w:r>
    </w:p>
    <w:p>
      <w:pPr>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 xml:space="preserve">Устанавливаются в соответствии с </w:t>
      </w:r>
      <w:r>
        <w:rPr>
          <w:rFonts w:ascii="Times New Roman" w:hAnsi="Times New Roman" w:eastAsia="Calibri" w:cs="Times New Roman"/>
          <w:sz w:val="24"/>
          <w:szCs w:val="24"/>
          <w:lang w:eastAsia="ru-RU"/>
        </w:rPr>
        <w:t xml:space="preserve">СанПиН 2.1.4.1110-02 «Зоны санитарной охраны источников водоснабжения и водопроводов питьевого назначения» с учетом факторов определяющих ЗСО. </w:t>
      </w:r>
    </w:p>
    <w:p>
      <w:pPr>
        <w:widowControl w:val="0"/>
        <w:spacing w:before="12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Охранные коридоры транспортных и инженерных коммуникаций</w:t>
      </w:r>
    </w:p>
    <w:p>
      <w:pPr>
        <w:numPr>
          <w:ilvl w:val="0"/>
          <w:numId w:val="29"/>
        </w:numPr>
        <w:tabs>
          <w:tab w:val="left" w:pos="1134"/>
        </w:tabs>
        <w:spacing w:after="0" w:line="240" w:lineRule="auto"/>
        <w:ind w:left="714" w:hanging="357"/>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Охранные коридоры ЛЭП.</w:t>
      </w:r>
    </w:p>
    <w:p>
      <w:pPr>
        <w:widowControl w:val="0"/>
        <w:tabs>
          <w:tab w:val="left" w:pos="426"/>
          <w:tab w:val="left" w:pos="1418"/>
        </w:tabs>
        <w:spacing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Ограничения установлены в соответствии с СанПиН 2.2.1/2.1.1.1200-03 «Санитарно-защитные зоны и санитарная классификация предприятий, сооружений и иных объектов» и со СНиП 2.07.01-89 «Градостроительство. Планировка и застройка городских и сельских поселений».</w:t>
      </w:r>
    </w:p>
    <w:p>
      <w:pPr>
        <w:numPr>
          <w:ilvl w:val="0"/>
          <w:numId w:val="29"/>
        </w:numPr>
        <w:tabs>
          <w:tab w:val="left" w:pos="1134"/>
        </w:tabs>
        <w:spacing w:after="0" w:line="240" w:lineRule="auto"/>
        <w:ind w:left="714" w:hanging="357"/>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Разрывы от магистральных газопроводов и газопроводов низкого давления.</w:t>
      </w:r>
    </w:p>
    <w:p>
      <w:pPr>
        <w:widowControl w:val="0"/>
        <w:tabs>
          <w:tab w:val="left" w:pos="426"/>
          <w:tab w:val="left" w:pos="1418"/>
        </w:tabs>
        <w:spacing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Установлены в соответствии с СанПиН 2.2.1/2.1.1.1200-03 «Санитарно-защитные зоны и санитарная классификация предприятий, сооружений и иных объектов»</w:t>
      </w:r>
    </w:p>
    <w:p>
      <w:pPr>
        <w:numPr>
          <w:ilvl w:val="0"/>
          <w:numId w:val="29"/>
        </w:numPr>
        <w:tabs>
          <w:tab w:val="left" w:pos="1134"/>
        </w:tabs>
        <w:spacing w:after="0" w:line="240" w:lineRule="auto"/>
        <w:ind w:left="714" w:hanging="357"/>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СЗЗ автомобильных дорог.</w:t>
      </w:r>
    </w:p>
    <w:p>
      <w:pPr>
        <w:widowControl w:val="0"/>
        <w:tabs>
          <w:tab w:val="left" w:pos="426"/>
          <w:tab w:val="left" w:pos="1418"/>
        </w:tabs>
        <w:spacing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Ограничения установлены в соответствии с СНиП 2.07.01-89, пп. 6.9 «Градостроительство. Планировка и застройка городских и сельских поселений», а также «Правилами установления и использования придорожных полос федеральных автомобильных дорог общего пользования» № 1420 от 01.12.1998 и в соответствии с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 257-ФЗ от 8.11.2007.</w:t>
      </w:r>
    </w:p>
    <w:p>
      <w:pPr>
        <w:widowControl w:val="0"/>
        <w:tabs>
          <w:tab w:val="left" w:pos="426"/>
          <w:tab w:val="left" w:pos="1418"/>
        </w:tabs>
        <w:spacing w:line="240" w:lineRule="auto"/>
        <w:ind w:firstLine="709"/>
        <w:contextualSpacing/>
        <w:jc w:val="both"/>
        <w:rPr>
          <w:rFonts w:ascii="Times New Roman" w:hAnsi="Times New Roman" w:eastAsia="Times New Roman" w:cs="Times New Roman"/>
          <w:iCs/>
          <w:color w:val="000000"/>
          <w:sz w:val="24"/>
          <w:szCs w:val="24"/>
          <w:lang w:eastAsia="ru-RU"/>
        </w:rPr>
      </w:pPr>
    </w:p>
    <w:p>
      <w:pPr>
        <w:widowControl w:val="0"/>
        <w:spacing w:line="24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b/>
          <w:sz w:val="24"/>
          <w:szCs w:val="24"/>
          <w:lang w:eastAsia="ru-RU"/>
        </w:rPr>
        <w:t>Водоохранные зоны</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Водоохранные зоны и прибрежные защитные полосы рек и водоемов, создаваемые с целью поддержания в водных объектах качества воды, удовлетворяющего определенным видам водопользования, имеют установленные регламенты хозяйственной деятельности, в том числе градостроительной.</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 xml:space="preserve">Размеры водоохранных зон и прибрежных защитных полос, а также режимы их использования устанавливаются ст. 65 Водного кодекса РФ. </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от рек протяженностью 10-50 км – 100 м (р. Кистега, р. Локша,);</w:t>
      </w:r>
    </w:p>
    <w:p>
      <w:pPr>
        <w:numPr>
          <w:ilvl w:val="0"/>
          <w:numId w:val="29"/>
        </w:numPr>
        <w:tabs>
          <w:tab w:val="left" w:pos="709"/>
        </w:tabs>
        <w:spacing w:after="0" w:line="240" w:lineRule="auto"/>
        <w:ind w:left="0"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 xml:space="preserve">от рек протяженностью менее 10 км – 50 м (р. </w:t>
      </w:r>
      <w:r>
        <w:rPr>
          <w:rFonts w:ascii="Times New Roman" w:hAnsi="Times New Roman" w:eastAsia="Times New Roman" w:cs="Times New Roman"/>
          <w:sz w:val="24"/>
          <w:szCs w:val="24"/>
          <w:lang w:eastAsia="ru-RU"/>
        </w:rPr>
        <w:t>Покша, р. Сватовка, р. Греминка,  р. Пучка, р. Черная, р. Сорож).</w:t>
      </w:r>
    </w:p>
    <w:p>
      <w:pPr>
        <w:tabs>
          <w:tab w:val="left" w:pos="709"/>
        </w:tabs>
        <w:spacing w:after="0" w:line="240" w:lineRule="auto"/>
        <w:ind w:firstLine="425"/>
        <w:contextualSpacing/>
        <w:jc w:val="both"/>
        <w:rPr>
          <w:rFonts w:ascii="Times New Roman" w:hAnsi="Times New Roman" w:eastAsia="Calibri" w:cs="Times New Roman"/>
          <w:iCs/>
          <w:color w:val="000000"/>
          <w:sz w:val="24"/>
          <w:szCs w:val="24"/>
          <w:lang w:eastAsia="ru-RU"/>
        </w:rPr>
      </w:pPr>
      <w:r>
        <w:rPr>
          <w:rFonts w:ascii="Times New Roman" w:hAnsi="Times New Roman" w:eastAsia="Times New Roman" w:cs="Times New Roman"/>
          <w:sz w:val="24"/>
          <w:szCs w:val="24"/>
          <w:lang w:eastAsia="ru-RU"/>
        </w:rPr>
        <w:t>В пределах водоохранных зон выделяются прибрежные защитные полосы, на территории которых вводятся дополнительные ограничения использования.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pPr>
        <w:widowControl w:val="0"/>
        <w:spacing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pPr>
        <w:widowControl w:val="0"/>
        <w:spacing w:line="240" w:lineRule="auto"/>
        <w:ind w:firstLine="709"/>
        <w:contextualSpacing/>
        <w:jc w:val="both"/>
        <w:rPr>
          <w:rFonts w:ascii="Times New Roman" w:hAnsi="Times New Roman" w:eastAsia="Calibri" w:cs="Times New Roman"/>
          <w:iCs/>
          <w:color w:val="000000"/>
          <w:sz w:val="24"/>
          <w:szCs w:val="24"/>
          <w:lang w:eastAsia="ru-RU"/>
        </w:rPr>
      </w:pPr>
      <w:r>
        <w:rPr>
          <w:rFonts w:ascii="Times New Roman" w:hAnsi="Times New Roman" w:eastAsia="Calibri" w:cs="Times New Roman"/>
          <w:iCs/>
          <w:color w:val="000000"/>
          <w:sz w:val="24"/>
          <w:szCs w:val="24"/>
          <w:lang w:eastAsia="ru-RU"/>
        </w:rPr>
        <w:t>Допустимые и запрещенные действия в пределах водоохранных зон и прибрежных зон приведены в Таблице.</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 </w:t>
      </w:r>
      <w:r>
        <w:rPr>
          <w:rFonts w:ascii="Times New Roman" w:hAnsi="Times New Roman" w:eastAsia="Calibri" w:cs="Times New Roman"/>
          <w:iCs/>
          <w:color w:val="000000"/>
          <w:sz w:val="24"/>
          <w:szCs w:val="24"/>
          <w:lang w:eastAsia="ru-RU"/>
        </w:rPr>
        <w:t xml:space="preserve"> </w:t>
      </w:r>
    </w:p>
    <w:p>
      <w:pPr>
        <w:widowControl w:val="0"/>
        <w:spacing w:line="240" w:lineRule="auto"/>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Регламенты использования территорий в пределах водоохранных зон</w:t>
      </w:r>
    </w:p>
    <w:p>
      <w:pPr>
        <w:widowControl w:val="0"/>
        <w:spacing w:line="240" w:lineRule="auto"/>
        <w:contextualSpacing/>
        <w:jc w:val="both"/>
        <w:rPr>
          <w:rFonts w:ascii="Times New Roman" w:hAnsi="Times New Roman" w:eastAsia="Calibri" w:cs="Times New Roman"/>
          <w:b/>
          <w:sz w:val="24"/>
          <w:szCs w:val="24"/>
          <w:lang w:eastAsia="ru-RU"/>
        </w:rPr>
      </w:pPr>
    </w:p>
    <w:tbl>
      <w:tblPr>
        <w:tblStyle w:val="22"/>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8"/>
        <w:gridCol w:w="2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08" w:type="dxa"/>
          </w:tcPr>
          <w:p>
            <w:pPr>
              <w:spacing w:line="240" w:lineRule="auto"/>
              <w:ind w:left="227" w:hanging="227"/>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Запрещается</w:t>
            </w:r>
          </w:p>
          <w:p>
            <w:pPr>
              <w:spacing w:line="240" w:lineRule="auto"/>
              <w:ind w:left="227" w:hanging="227"/>
              <w:contextualSpacing/>
              <w:jc w:val="center"/>
              <w:rPr>
                <w:rFonts w:ascii="Times New Roman" w:hAnsi="Times New Roman" w:eastAsia="Times New Roman" w:cs="Times New Roman"/>
                <w:sz w:val="24"/>
                <w:szCs w:val="24"/>
                <w:lang w:eastAsia="ru-RU"/>
              </w:rPr>
            </w:pPr>
          </w:p>
        </w:tc>
        <w:tc>
          <w:tcPr>
            <w:tcW w:w="2948" w:type="dxa"/>
          </w:tcPr>
          <w:p>
            <w:pPr>
              <w:spacing w:line="240" w:lineRule="auto"/>
              <w:contextualSpacing/>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Допускается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08" w:type="dxa"/>
          </w:tcPr>
          <w:p>
            <w:pPr>
              <w:spacing w:line="240" w:lineRule="auto"/>
              <w:ind w:left="227" w:hanging="22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Использование сточных вод для удобрения почв.</w:t>
            </w:r>
          </w:p>
          <w:p>
            <w:pPr>
              <w:spacing w:line="240" w:lineRule="auto"/>
              <w:ind w:left="227" w:hanging="22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spacing w:line="240" w:lineRule="auto"/>
              <w:ind w:left="227" w:hanging="22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 Осуществление авиационных мер по борьбе с вредителями и болезнями растений.</w:t>
            </w:r>
          </w:p>
          <w:p>
            <w:pPr>
              <w:spacing w:line="240" w:lineRule="auto"/>
              <w:ind w:left="227" w:hanging="22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spacing w:line="240" w:lineRule="auto"/>
              <w:ind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границах прибрежных защитных полос наряду с установленными ограничениями в границах водоохранных зон запрещаются:</w:t>
            </w:r>
          </w:p>
          <w:p>
            <w:pPr>
              <w:spacing w:line="240" w:lineRule="auto"/>
              <w:ind w:left="56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распашка земель;</w:t>
            </w:r>
          </w:p>
          <w:p>
            <w:pPr>
              <w:spacing w:line="240" w:lineRule="auto"/>
              <w:ind w:left="56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размещение отвалов размываемых грунтов;</w:t>
            </w:r>
          </w:p>
          <w:p>
            <w:pPr>
              <w:spacing w:line="240" w:lineRule="auto"/>
              <w:ind w:left="567"/>
              <w:contextualSpacing/>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sz w:val="24"/>
                <w:szCs w:val="24"/>
                <w:lang w:eastAsia="ru-RU"/>
              </w:rPr>
              <w:t>3) выпас сельскохозяйственных животных и организация для них летних лагерей, ванн.</w:t>
            </w:r>
          </w:p>
        </w:tc>
        <w:tc>
          <w:tcPr>
            <w:tcW w:w="2948" w:type="dxa"/>
          </w:tcPr>
          <w:p>
            <w:pPr>
              <w:spacing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bl>
    <w:p>
      <w:pPr>
        <w:rPr>
          <w:rFonts w:ascii="Calibri" w:hAnsi="Calibri" w:eastAsia="Times New Roman" w:cs="Times New Roman"/>
          <w:lang w:eastAsia="ru-RU"/>
        </w:rPr>
      </w:pPr>
    </w:p>
    <w:p>
      <w:pPr>
        <w:keepNext/>
        <w:keepLines/>
        <w:spacing w:before="480" w:after="0"/>
        <w:jc w:val="center"/>
        <w:outlineLvl w:val="0"/>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3. ПРОЕКТНЫЕ РЕШЕНИЯ</w:t>
      </w:r>
    </w:p>
    <w:p>
      <w:pPr>
        <w:keepNext/>
        <w:keepLines/>
        <w:spacing w:before="480" w:after="0"/>
        <w:ind w:firstLine="709"/>
        <w:outlineLvl w:val="0"/>
        <w:rPr>
          <w:rFonts w:ascii="Times New Roman" w:hAnsi="Times New Roman" w:eastAsia="Times New Roman" w:cs="Times New Roman"/>
          <w:b/>
          <w:bCs/>
          <w:sz w:val="24"/>
          <w:szCs w:val="28"/>
          <w:lang w:eastAsia="ru-RU"/>
        </w:rPr>
      </w:pPr>
      <w:bookmarkStart w:id="28" w:name="_Toc312173931"/>
      <w:bookmarkStart w:id="29" w:name="_Toc312171194"/>
      <w:r>
        <w:rPr>
          <w:rFonts w:ascii="Times New Roman" w:hAnsi="Times New Roman" w:eastAsia="Times New Roman" w:cs="Times New Roman"/>
          <w:b/>
          <w:bCs/>
          <w:sz w:val="24"/>
          <w:szCs w:val="28"/>
          <w:lang w:eastAsia="ru-RU"/>
        </w:rPr>
        <w:t>3.1. РАЗВИТИЕ АРХИТЕКТУРНО-ПЛАНИРОВОЧНОЙ СТРУКТУРЫ</w:t>
      </w:r>
      <w:bookmarkEnd w:id="28"/>
      <w:bookmarkEnd w:id="29"/>
    </w:p>
    <w:p>
      <w:pPr>
        <w:spacing w:line="360" w:lineRule="auto"/>
        <w:ind w:firstLine="709"/>
        <w:rPr>
          <w:rFonts w:ascii="Times New Roman" w:hAnsi="Times New Roman" w:eastAsia="Calibri" w:cs="Times New Roman"/>
          <w:b/>
          <w:sz w:val="24"/>
          <w:lang w:eastAsia="ru-RU"/>
        </w:rPr>
      </w:pPr>
      <w:r>
        <w:rPr>
          <w:rFonts w:ascii="Times New Roman" w:hAnsi="Times New Roman" w:eastAsia="Calibri" w:cs="Times New Roman"/>
          <w:b/>
          <w:sz w:val="24"/>
          <w:lang w:eastAsia="ru-RU"/>
        </w:rPr>
        <w:t>Проектные предложения</w:t>
      </w:r>
    </w:p>
    <w:p>
      <w:pPr>
        <w:spacing w:line="240" w:lineRule="auto"/>
        <w:ind w:firstLine="709"/>
        <w:contextualSpacing/>
        <w:jc w:val="both"/>
        <w:rPr>
          <w:rFonts w:ascii="Times New Roman" w:hAnsi="Times New Roman" w:eastAsia="Calibri" w:cs="Times New Roman"/>
          <w:sz w:val="24"/>
          <w:lang w:eastAsia="ru-RU"/>
        </w:rPr>
      </w:pPr>
      <w:r>
        <w:rPr>
          <w:rFonts w:ascii="Times New Roman" w:hAnsi="Times New Roman" w:eastAsia="Calibri" w:cs="Times New Roman"/>
          <w:sz w:val="24"/>
          <w:lang w:eastAsia="ru-RU"/>
        </w:rPr>
        <w:t>Архитектурно-планировочная организация территории основана на четком функциональном зонировании, учете существующей капитальной застройки, а также  региональных градостроительных условий - природных условий, типа застройки, национальных традиций, бытовых условий и пр.</w:t>
      </w:r>
    </w:p>
    <w:p>
      <w:pPr>
        <w:spacing w:line="240" w:lineRule="auto"/>
        <w:ind w:firstLine="709"/>
        <w:contextualSpacing/>
        <w:jc w:val="both"/>
        <w:rPr>
          <w:rFonts w:ascii="Times New Roman" w:hAnsi="Times New Roman" w:eastAsia="Calibri" w:cs="Times New Roman"/>
          <w:sz w:val="24"/>
          <w:lang w:eastAsia="ru-RU"/>
        </w:rPr>
      </w:pPr>
      <w:r>
        <w:rPr>
          <w:rFonts w:ascii="Times New Roman" w:hAnsi="Times New Roman" w:eastAsia="Calibri" w:cs="Times New Roman"/>
          <w:sz w:val="24"/>
          <w:lang w:eastAsia="ru-RU"/>
        </w:rPr>
        <w:t>Важнейшими направлениями развития архитектурно-планировочной структуры до конца расчетного срока являются инженерное обеспечение поселения с учетом существующих сетей и проектных разработок.</w:t>
      </w:r>
    </w:p>
    <w:p>
      <w:pPr>
        <w:spacing w:line="240" w:lineRule="auto"/>
        <w:ind w:firstLine="709"/>
        <w:contextualSpacing/>
        <w:jc w:val="both"/>
        <w:rPr>
          <w:rFonts w:ascii="Times New Roman" w:hAnsi="Times New Roman" w:eastAsia="Calibri" w:cs="Times New Roman"/>
          <w:sz w:val="24"/>
          <w:lang w:eastAsia="ru-RU"/>
        </w:rPr>
      </w:pPr>
      <w:r>
        <w:rPr>
          <w:rFonts w:ascii="Times New Roman" w:hAnsi="Times New Roman" w:eastAsia="Calibri" w:cs="Times New Roman"/>
          <w:sz w:val="24"/>
          <w:lang w:eastAsia="ru-RU"/>
        </w:rPr>
        <w:t>Генплан выполнен с соблюдением принципов экологичности при застройке территории с сохранением естественного растительного покрова и последующим уходом за ним.</w:t>
      </w:r>
    </w:p>
    <w:p>
      <w:pPr>
        <w:spacing w:line="240" w:lineRule="auto"/>
        <w:ind w:firstLine="709"/>
        <w:contextualSpacing/>
        <w:jc w:val="both"/>
        <w:rPr>
          <w:rFonts w:ascii="Times New Roman" w:hAnsi="Times New Roman" w:eastAsia="Calibri" w:cs="Times New Roman"/>
          <w:sz w:val="24"/>
          <w:lang w:eastAsia="ru-RU"/>
        </w:rPr>
      </w:pPr>
    </w:p>
    <w:p>
      <w:pPr>
        <w:keepNext/>
        <w:keepLines/>
        <w:spacing w:before="240" w:after="0"/>
        <w:ind w:firstLine="709"/>
        <w:outlineLvl w:val="0"/>
        <w:rPr>
          <w:rFonts w:ascii="Times New Roman" w:hAnsi="Times New Roman" w:eastAsia="Times New Roman" w:cs="Times New Roman"/>
          <w:b/>
          <w:bCs/>
          <w:sz w:val="24"/>
          <w:szCs w:val="28"/>
          <w:lang w:eastAsia="ru-RU"/>
        </w:rPr>
      </w:pPr>
      <w:bookmarkStart w:id="30" w:name="_Toc312173933"/>
      <w:bookmarkStart w:id="31" w:name="_Toc312171196"/>
      <w:r>
        <w:rPr>
          <w:rFonts w:ascii="Times New Roman" w:hAnsi="Times New Roman" w:eastAsia="Times New Roman" w:cs="Times New Roman"/>
          <w:b/>
          <w:bCs/>
          <w:sz w:val="24"/>
          <w:szCs w:val="28"/>
          <w:lang w:eastAsia="ru-RU"/>
        </w:rPr>
        <w:t>3.2. СОЦИАЛЬНО-ЭКОНОМИЧЕСКОЕ РАЗВИТИЕ</w:t>
      </w:r>
      <w:bookmarkEnd w:id="30"/>
      <w:bookmarkEnd w:id="31"/>
    </w:p>
    <w:p>
      <w:pPr>
        <w:keepNext/>
        <w:keepLines/>
        <w:spacing w:before="480" w:after="0" w:line="240" w:lineRule="auto"/>
        <w:contextualSpacing/>
        <w:outlineLvl w:val="0"/>
        <w:rPr>
          <w:rFonts w:ascii="Times New Roman" w:hAnsi="Times New Roman" w:eastAsia="Times New Roman" w:cs="Times New Roman"/>
          <w:b/>
          <w:bCs/>
          <w:sz w:val="24"/>
          <w:szCs w:val="24"/>
          <w:lang w:eastAsia="ru-RU"/>
        </w:rPr>
      </w:pPr>
      <w:bookmarkStart w:id="32" w:name="_Toc312171197"/>
      <w:bookmarkStart w:id="33" w:name="_Toc312173934"/>
    </w:p>
    <w:p>
      <w:pPr>
        <w:keepNext/>
        <w:keepLines/>
        <w:numPr>
          <w:ilvl w:val="2"/>
          <w:numId w:val="30"/>
        </w:numPr>
        <w:spacing w:before="480" w:after="0" w:line="240" w:lineRule="auto"/>
        <w:ind w:hanging="11"/>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ПРОГНОЗ ЧИСЛЕННОСТИ НАСЕЛЕНИЯ</w:t>
      </w:r>
      <w:bookmarkEnd w:id="32"/>
      <w:bookmarkEnd w:id="33"/>
      <w:r>
        <w:rPr>
          <w:rFonts w:ascii="Times New Roman" w:hAnsi="Times New Roman" w:eastAsia="Times New Roman" w:cs="Times New Roman"/>
          <w:b/>
          <w:bCs/>
          <w:sz w:val="24"/>
          <w:szCs w:val="24"/>
          <w:lang w:eastAsia="ru-RU"/>
        </w:rPr>
        <w:t xml:space="preserve"> </w:t>
      </w:r>
    </w:p>
    <w:p>
      <w:pPr>
        <w:ind w:left="360"/>
        <w:rPr>
          <w:rFonts w:ascii="Calibri" w:hAnsi="Calibri" w:eastAsia="Times New Roman" w:cs="Times New Roman"/>
          <w:lang w:eastAsia="ru-RU"/>
        </w:rPr>
      </w:pPr>
    </w:p>
    <w:p>
      <w:pPr>
        <w:tabs>
          <w:tab w:val="left" w:pos="0"/>
        </w:tabs>
        <w:spacing w:line="240" w:lineRule="auto"/>
        <w:ind w:firstLine="709"/>
        <w:contextualSpacing/>
        <w:jc w:val="both"/>
        <w:rPr>
          <w:rFonts w:ascii="Times New Roman" w:hAnsi="Times New Roman" w:eastAsia="Times New Roman" w:cs="Times New Roman"/>
          <w:sz w:val="24"/>
          <w:szCs w:val="24"/>
          <w:highlight w:val="yellow"/>
          <w:lang w:eastAsia="ar-SA"/>
        </w:rPr>
      </w:pPr>
      <w:r>
        <w:rPr>
          <w:rFonts w:ascii="Times New Roman" w:hAnsi="Times New Roman" w:eastAsia="Times New Roman" w:cs="Times New Roman"/>
          <w:sz w:val="24"/>
          <w:szCs w:val="24"/>
          <w:lang w:eastAsia="ru-RU"/>
        </w:rPr>
        <w:t>Базовый сценарий развития демографической ситуации предполагает незначительные изменения в социально-экономическом развитии Дмитриевского сельского поселения, сопровождаемые стабилизацией уровня рождаемости и уменьшения показателей смертности населения.</w:t>
      </w:r>
    </w:p>
    <w:p>
      <w:pPr>
        <w:keepNext/>
        <w:keepLines/>
        <w:numPr>
          <w:ilvl w:val="2"/>
          <w:numId w:val="30"/>
        </w:numPr>
        <w:spacing w:before="480" w:after="0" w:line="240" w:lineRule="auto"/>
        <w:ind w:hanging="11"/>
        <w:contextualSpacing/>
        <w:outlineLvl w:val="0"/>
        <w:rPr>
          <w:rFonts w:ascii="Times New Roman" w:hAnsi="Times New Roman" w:eastAsia="Times New Roman" w:cs="Times New Roman"/>
          <w:b/>
          <w:bCs/>
          <w:sz w:val="24"/>
          <w:szCs w:val="24"/>
          <w:lang w:eastAsia="ru-RU"/>
        </w:rPr>
      </w:pPr>
      <w:bookmarkStart w:id="34" w:name="_Toc312173935"/>
      <w:bookmarkStart w:id="35" w:name="_Toc312171198"/>
      <w:r>
        <w:rPr>
          <w:rFonts w:ascii="Times New Roman" w:hAnsi="Times New Roman" w:eastAsia="Times New Roman" w:cs="Times New Roman"/>
          <w:b/>
          <w:bCs/>
          <w:sz w:val="24"/>
          <w:szCs w:val="24"/>
          <w:lang w:eastAsia="ru-RU"/>
        </w:rPr>
        <w:t>МЕРОПРИЯТИЯ ПО РАЗВИТИЮ ЭКОНОМИКИ</w:t>
      </w:r>
      <w:bookmarkEnd w:id="34"/>
      <w:bookmarkEnd w:id="35"/>
      <w:r>
        <w:rPr>
          <w:rFonts w:ascii="Times New Roman" w:hAnsi="Times New Roman" w:eastAsia="Times New Roman" w:cs="Times New Roman"/>
          <w:b/>
          <w:bCs/>
          <w:sz w:val="24"/>
          <w:szCs w:val="24"/>
          <w:lang w:eastAsia="ru-RU"/>
        </w:rPr>
        <w:tab/>
      </w:r>
    </w:p>
    <w:p>
      <w:pPr>
        <w:suppressAutoHyphens/>
        <w:spacing w:after="0" w:line="240" w:lineRule="auto"/>
        <w:ind w:left="1080"/>
        <w:contextualSpacing/>
        <w:rPr>
          <w:rFonts w:ascii="Times New Roman" w:hAnsi="Times New Roman" w:eastAsia="Times New Roman" w:cs="Times New Roman"/>
          <w:color w:val="FF0000"/>
          <w:sz w:val="24"/>
          <w:szCs w:val="24"/>
          <w:lang w:eastAsia="ar-SA"/>
        </w:rPr>
      </w:pPr>
    </w:p>
    <w:p>
      <w:pPr>
        <w:ind w:firstLine="720"/>
        <w:jc w:val="both"/>
        <w:rPr>
          <w:rFonts w:ascii="Times New Roman" w:hAnsi="Times New Roman" w:eastAsia="Times New Roman" w:cs="Times New Roman"/>
          <w:sz w:val="24"/>
          <w:szCs w:val="24"/>
          <w:lang w:eastAsia="ru-RU"/>
        </w:rPr>
      </w:pPr>
      <w:bookmarkStart w:id="36" w:name="_Toc312171199"/>
      <w:bookmarkStart w:id="37" w:name="_Toc312173936"/>
      <w:r>
        <w:rPr>
          <w:rFonts w:ascii="Times New Roman" w:hAnsi="Times New Roman" w:eastAsia="Times New Roman" w:cs="Times New Roman"/>
          <w:sz w:val="24"/>
          <w:szCs w:val="24"/>
          <w:lang w:eastAsia="ru-RU"/>
        </w:rPr>
        <w:t>На территории поселения планируется реализация четырех крупных проектов: строительство новой линии электропередач в с Кистега протяженностью около 1,5 км ориентировочной стоимостью 2,5 млн.руб.   , разработка гравийного карьера с созданием 20 новых рабочих мест, строительство моста через реку Покша на г.Кострома , ремонт 8-квартирного дома с объемом вложений 600 тыс.руб.</w:t>
      </w:r>
    </w:p>
    <w:p>
      <w:pPr>
        <w:keepNext/>
        <w:keepLines/>
        <w:spacing w:before="480" w:after="0"/>
        <w:ind w:firstLine="709"/>
        <w:outlineLvl w:val="0"/>
        <w:rPr>
          <w:rFonts w:ascii="Times New Roman" w:hAnsi="Times New Roman" w:eastAsia="Calibri" w:cs="Times New Roman"/>
          <w:b/>
          <w:bCs/>
          <w:i/>
          <w:sz w:val="24"/>
          <w:szCs w:val="24"/>
          <w:lang w:eastAsia="ru-RU"/>
        </w:rPr>
      </w:pPr>
      <w:r>
        <w:rPr>
          <w:rFonts w:ascii="Times New Roman" w:hAnsi="Times New Roman" w:eastAsia="Times New Roman" w:cs="Times New Roman"/>
          <w:b/>
          <w:bCs/>
          <w:sz w:val="24"/>
          <w:szCs w:val="24"/>
          <w:lang w:eastAsia="ru-RU"/>
        </w:rPr>
        <w:t>3.2.3. МЕРОПРИЯТИЯ ПО РАЗВИТИЮ ЖИЛИЩНОГО СТРОИТЕЛЬСТВА</w:t>
      </w:r>
      <w:bookmarkEnd w:id="36"/>
      <w:bookmarkEnd w:id="37"/>
    </w:p>
    <w:p>
      <w:pPr>
        <w:spacing w:before="120" w:line="36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По состоянию на 01.01. 2011 года в администрации Дмитриевского сельского поселения  жилищный фонд представляет собой:</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-30  многоквартирных домов в с.Колшево общей площадью 5419 кв. м, 15 индивидуальных жилых домов общей площадью 1128 кв.м. Пло</w:t>
      </w:r>
      <w:r>
        <w:rPr>
          <w:rFonts w:ascii="Times New Roman" w:hAnsi="Times New Roman" w:eastAsia="Arial Unicode MS" w:cs="Times New Roman"/>
          <w:sz w:val="24"/>
          <w:szCs w:val="24"/>
          <w:lang w:val="zh-CN" w:eastAsia="zh-CN"/>
        </w:rPr>
        <w:softHyphen/>
      </w:r>
      <w:r>
        <w:rPr>
          <w:rFonts w:ascii="Times New Roman" w:hAnsi="Times New Roman" w:eastAsia="Arial Unicode MS" w:cs="Times New Roman"/>
          <w:sz w:val="24"/>
          <w:szCs w:val="24"/>
          <w:lang w:val="zh-CN" w:eastAsia="zh-CN"/>
        </w:rPr>
        <w:t xml:space="preserve">щадь муниципального жилищного фонда –  6547 кв. м. Структура многоквартирного жилищного фонда такова: 28% - это кирпичные </w:t>
      </w:r>
      <w:r>
        <w:rPr>
          <w:rFonts w:ascii="Times New Roman" w:hAnsi="Times New Roman" w:eastAsia="Arial Unicode MS" w:cs="Times New Roman"/>
          <w:sz w:val="24"/>
          <w:szCs w:val="24"/>
          <w:lang w:val="zh-CN"/>
        </w:rPr>
        <w:t xml:space="preserve">2-х </w:t>
      </w:r>
      <w:r>
        <w:rPr>
          <w:rFonts w:ascii="Times New Roman" w:hAnsi="Times New Roman" w:eastAsia="Arial Unicode MS" w:cs="Times New Roman"/>
          <w:sz w:val="24"/>
          <w:szCs w:val="24"/>
          <w:lang w:val="zh-CN" w:eastAsia="zh-CN"/>
        </w:rPr>
        <w:t>этажные дома постройки 1963-1973 годов, 71% - деревянные, 1% -  прочие. Доля многоквартирных домов с износом более 50% и сроком использования без проведения капитального ремонта более 25 лет составляет 80 %.</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 Большая часть жилищного фонда поселения (88,8%) находится в муниципальной собственности, только 3  индивидуальных жилых дома и  7 квартир в многоквартирных домах являются собственностью граждан , 1 квартира является ведомственной.</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По степени благоустройства многоквартирный жилищный фонд является неблагоустроенным - без центрального отопления, холодного водоснабжения, водоотведения.</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Индивидуальный жилищный фонд состоит в основном из деревянных строений с печным отоплением  и холодным водоснабжением.</w:t>
      </w:r>
    </w:p>
    <w:p>
      <w:pPr>
        <w:keepNext/>
        <w:keepLines/>
        <w:spacing w:after="0" w:line="240" w:lineRule="auto"/>
        <w:ind w:left="1180"/>
        <w:jc w:val="center"/>
        <w:rPr>
          <w:rFonts w:ascii="Times New Roman" w:hAnsi="Times New Roman" w:eastAsia="Arial Unicode MS" w:cs="Times New Roman"/>
          <w:bCs/>
          <w:sz w:val="24"/>
          <w:szCs w:val="24"/>
          <w:lang w:val="zh-CN" w:eastAsia="zh-CN"/>
        </w:rPr>
      </w:pPr>
      <w:bookmarkStart w:id="38" w:name="bookmark25"/>
    </w:p>
    <w:p>
      <w:pPr>
        <w:keepNext/>
        <w:keepLines/>
        <w:spacing w:after="0" w:line="240" w:lineRule="auto"/>
        <w:ind w:left="1180"/>
        <w:jc w:val="center"/>
        <w:rPr>
          <w:rFonts w:ascii="Times New Roman" w:hAnsi="Times New Roman" w:eastAsia="Arial Unicode MS" w:cs="Times New Roman"/>
          <w:bCs/>
          <w:sz w:val="24"/>
          <w:szCs w:val="24"/>
          <w:lang w:val="zh-CN" w:eastAsia="zh-CN"/>
        </w:rPr>
      </w:pPr>
      <w:r>
        <w:rPr>
          <w:rFonts w:ascii="Times New Roman" w:hAnsi="Times New Roman" w:eastAsia="Arial Unicode MS" w:cs="Times New Roman"/>
          <w:bCs/>
          <w:sz w:val="24"/>
          <w:szCs w:val="24"/>
          <w:lang w:val="zh-CN" w:eastAsia="zh-CN"/>
        </w:rPr>
        <w:t>Основные показатели жилищного хозяйства</w:t>
      </w:r>
      <w:bookmarkEnd w:id="38"/>
    </w:p>
    <w:p>
      <w:pPr>
        <w:keepNext/>
        <w:keepLines/>
        <w:spacing w:after="0" w:line="240" w:lineRule="auto"/>
        <w:ind w:left="1180"/>
        <w:jc w:val="both"/>
        <w:rPr>
          <w:rFonts w:ascii="Times New Roman" w:hAnsi="Times New Roman" w:eastAsia="Arial Unicode MS" w:cs="Times New Roman"/>
          <w:b/>
          <w:bCs/>
          <w:sz w:val="24"/>
          <w:szCs w:val="24"/>
          <w:lang w:val="zh-CN" w:eastAsia="zh-CN"/>
        </w:rPr>
      </w:pPr>
    </w:p>
    <w:tbl>
      <w:tblPr>
        <w:tblStyle w:val="22"/>
        <w:tblW w:w="9697" w:type="dxa"/>
        <w:jc w:val="center"/>
        <w:tblInd w:w="-2018" w:type="dxa"/>
        <w:tblLayout w:type="fixed"/>
        <w:tblCellMar>
          <w:top w:w="0" w:type="dxa"/>
          <w:left w:w="0" w:type="dxa"/>
          <w:bottom w:w="0" w:type="dxa"/>
          <w:right w:w="0" w:type="dxa"/>
        </w:tblCellMar>
      </w:tblPr>
      <w:tblGrid>
        <w:gridCol w:w="6532"/>
        <w:gridCol w:w="1059"/>
        <w:gridCol w:w="1080"/>
        <w:gridCol w:w="1026"/>
      </w:tblGrid>
      <w:tr>
        <w:tblPrEx>
          <w:tblLayout w:type="fixed"/>
          <w:tblCellMar>
            <w:top w:w="0" w:type="dxa"/>
            <w:left w:w="0" w:type="dxa"/>
            <w:bottom w:w="0" w:type="dxa"/>
            <w:right w:w="0" w:type="dxa"/>
          </w:tblCellMar>
        </w:tblPrEx>
        <w:trPr>
          <w:trHeight w:val="178"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Наименование показателей</w:t>
            </w:r>
          </w:p>
        </w:tc>
        <w:tc>
          <w:tcPr>
            <w:tcW w:w="105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both"/>
              <w:rPr>
                <w:rFonts w:ascii="Times New Roman" w:hAnsi="Times New Roman" w:eastAsia="Times New Roman" w:cs="Times New Roman"/>
                <w:iCs/>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2010 г.</w:t>
            </w:r>
          </w:p>
        </w:tc>
        <w:tc>
          <w:tcPr>
            <w:tcW w:w="10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100"/>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2011 г.</w:t>
            </w:r>
          </w:p>
        </w:tc>
      </w:tr>
      <w:tr>
        <w:tblPrEx>
          <w:tblLayout w:type="fixed"/>
          <w:tblCellMar>
            <w:top w:w="0" w:type="dxa"/>
            <w:left w:w="0" w:type="dxa"/>
            <w:bottom w:w="0" w:type="dxa"/>
            <w:right w:w="0" w:type="dxa"/>
          </w:tblCellMar>
        </w:tblPrEx>
        <w:trPr>
          <w:trHeight w:val="154"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Ввод в действие общей площади жилых домов,  кв. м. общей площади</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100"/>
              <w:rPr>
                <w:rFonts w:ascii="Times New Roman" w:hAnsi="Times New Roman" w:eastAsia="Times New Roman" w:cs="Times New Roman"/>
                <w:sz w:val="24"/>
                <w:szCs w:val="24"/>
                <w:lang w:eastAsia="ru-RU"/>
              </w:rPr>
            </w:pPr>
          </w:p>
        </w:tc>
      </w:tr>
      <w:tr>
        <w:tblPrEx>
          <w:tblLayout w:type="fixed"/>
          <w:tblCellMar>
            <w:top w:w="0" w:type="dxa"/>
            <w:left w:w="0" w:type="dxa"/>
            <w:bottom w:w="0" w:type="dxa"/>
            <w:right w:w="0" w:type="dxa"/>
          </w:tblCellMar>
        </w:tblPrEx>
        <w:trPr>
          <w:trHeight w:val="317"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т.ч. индивидуальных жилых домов за счет средств населения и с помощью кредитов,  кв. м общей площади</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r>
      <w:tr>
        <w:tblPrEx>
          <w:tblLayout w:type="fixed"/>
          <w:tblCellMar>
            <w:top w:w="0" w:type="dxa"/>
            <w:left w:w="0" w:type="dxa"/>
            <w:bottom w:w="0" w:type="dxa"/>
            <w:right w:w="0" w:type="dxa"/>
          </w:tblCellMar>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Жилищный фонд (независимо от формы собственности) на конец года, тыс. кв. м. общей площади</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6547</w:t>
            </w: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6547</w:t>
            </w:r>
          </w:p>
        </w:tc>
      </w:tr>
      <w:tr>
        <w:tblPrEx>
          <w:tblLayout w:type="fixed"/>
          <w:tblCellMar>
            <w:top w:w="0" w:type="dxa"/>
            <w:left w:w="0" w:type="dxa"/>
            <w:bottom w:w="0" w:type="dxa"/>
            <w:right w:w="0" w:type="dxa"/>
          </w:tblCellMar>
        </w:tblPrEx>
        <w:trPr>
          <w:trHeight w:val="466"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том числе:</w:t>
            </w:r>
          </w:p>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общая площадь жилых помещений в многоквартирных жилых домах, тыс. кв. м общей площади</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rPr>
            </w:pPr>
          </w:p>
          <w:p>
            <w:pPr>
              <w:spacing w:after="0" w:line="240" w:lineRule="auto"/>
              <w:ind w:left="80"/>
              <w:jc w:val="center"/>
              <w:rPr>
                <w:rFonts w:ascii="Times New Roman" w:hAnsi="Times New Roman" w:eastAsia="Times New Roman" w:cs="Times New Roman"/>
                <w:sz w:val="24"/>
                <w:szCs w:val="24"/>
              </w:rPr>
            </w:pPr>
          </w:p>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rPr>
              <w:t>5419</w:t>
            </w: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100"/>
              <w:jc w:val="center"/>
              <w:rPr>
                <w:rFonts w:ascii="Times New Roman" w:hAnsi="Times New Roman" w:eastAsia="Times New Roman" w:cs="Times New Roman"/>
                <w:sz w:val="24"/>
                <w:szCs w:val="24"/>
                <w:lang w:eastAsia="ru-RU"/>
              </w:rPr>
            </w:pPr>
          </w:p>
          <w:p>
            <w:pPr>
              <w:spacing w:after="0" w:line="240" w:lineRule="auto"/>
              <w:ind w:left="100"/>
              <w:jc w:val="center"/>
              <w:rPr>
                <w:rFonts w:ascii="Times New Roman" w:hAnsi="Times New Roman" w:eastAsia="Times New Roman" w:cs="Times New Roman"/>
                <w:sz w:val="24"/>
                <w:szCs w:val="24"/>
                <w:lang w:eastAsia="ru-RU"/>
              </w:rPr>
            </w:pPr>
          </w:p>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5419</w:t>
            </w:r>
          </w:p>
        </w:tc>
      </w:tr>
      <w:tr>
        <w:tblPrEx>
          <w:tblLayout w:type="fixed"/>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общая площадь жилых помещений в индивидуальных жилых домах, тыс. кв. м общей площади</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1128</w:t>
            </w: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1128</w:t>
            </w:r>
          </w:p>
        </w:tc>
      </w:tr>
      <w:tr>
        <w:tblPrEx>
          <w:tblLayout w:type="fixed"/>
          <w:tblCellMar>
            <w:top w:w="0" w:type="dxa"/>
            <w:left w:w="0" w:type="dxa"/>
            <w:bottom w:w="0" w:type="dxa"/>
            <w:right w:w="0" w:type="dxa"/>
          </w:tblCellMar>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общая площадь специализированного жилого фонда (общежитий, служебных помещений и др.) тыс.кв.м.</w:t>
            </w:r>
          </w:p>
        </w:tc>
        <w:tc>
          <w:tcPr>
            <w:tcW w:w="1059"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rPr>
              <w:t>-</w:t>
            </w:r>
          </w:p>
        </w:tc>
        <w:tc>
          <w:tcPr>
            <w:tcW w:w="1026"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left="10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rPr>
              <w:t xml:space="preserve">   -</w:t>
            </w:r>
          </w:p>
        </w:tc>
      </w:tr>
      <w:tr>
        <w:tblPrEx>
          <w:tblLayout w:type="fixed"/>
          <w:tblCellMar>
            <w:top w:w="0" w:type="dxa"/>
            <w:left w:w="0" w:type="dxa"/>
            <w:bottom w:w="0" w:type="dxa"/>
            <w:right w:w="0" w:type="dxa"/>
          </w:tblCellMar>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 обеспеченность населения общей площадью жилых домов на конец года, кв. м. на человека</w:t>
            </w:r>
          </w:p>
        </w:tc>
        <w:tc>
          <w:tcPr>
            <w:tcW w:w="105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center"/>
              <w:rPr>
                <w:rFonts w:ascii="Times New Roman" w:hAnsi="Times New Roman" w:eastAsia="Times New Roman" w:cs="Times New Roman"/>
                <w:sz w:val="24"/>
                <w:szCs w:val="24"/>
                <w:lang w:eastAsia="ru-RU"/>
              </w:rPr>
            </w:pPr>
          </w:p>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37,4</w:t>
            </w:r>
          </w:p>
        </w:tc>
        <w:tc>
          <w:tcPr>
            <w:tcW w:w="10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100"/>
              <w:jc w:val="center"/>
              <w:rPr>
                <w:rFonts w:ascii="Times New Roman" w:hAnsi="Times New Roman" w:eastAsia="Times New Roman" w:cs="Times New Roman"/>
                <w:sz w:val="24"/>
                <w:szCs w:val="24"/>
                <w:lang w:eastAsia="ru-RU"/>
              </w:rPr>
            </w:pPr>
          </w:p>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37,4</w:t>
            </w:r>
          </w:p>
        </w:tc>
      </w:tr>
      <w:tr>
        <w:tblPrEx>
          <w:tblLayout w:type="fixed"/>
          <w:tblCellMar>
            <w:top w:w="0" w:type="dxa"/>
            <w:left w:w="0" w:type="dxa"/>
            <w:bottom w:w="0" w:type="dxa"/>
            <w:right w:w="0" w:type="dxa"/>
          </w:tblCellMar>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Средний тариф на услуги по социальному найму, руб./кв. м</w:t>
            </w:r>
          </w:p>
        </w:tc>
        <w:tc>
          <w:tcPr>
            <w:tcW w:w="105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0,75</w:t>
            </w:r>
          </w:p>
        </w:tc>
        <w:tc>
          <w:tcPr>
            <w:tcW w:w="10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0,75</w:t>
            </w:r>
          </w:p>
        </w:tc>
      </w:tr>
      <w:tr>
        <w:tblPrEx>
          <w:tblLayout w:type="fixed"/>
          <w:tblCellMar>
            <w:top w:w="0" w:type="dxa"/>
            <w:left w:w="0" w:type="dxa"/>
            <w:bottom w:w="0" w:type="dxa"/>
            <w:right w:w="0" w:type="dxa"/>
          </w:tblCellMar>
        </w:tblPrEx>
        <w:trPr>
          <w:trHeight w:val="312" w:hRule="atLeast"/>
          <w:jc w:val="center"/>
        </w:trPr>
        <w:tc>
          <w:tcPr>
            <w:tcW w:w="6532" w:type="dxa"/>
            <w:tcBorders>
              <w:top w:val="single" w:color="auto" w:sz="4" w:space="0"/>
              <w:left w:val="single" w:color="auto" w:sz="4" w:space="0"/>
              <w:bottom w:val="single" w:color="auto" w:sz="4" w:space="0"/>
              <w:right w:val="single" w:color="auto" w:sz="4" w:space="0"/>
            </w:tcBorders>
            <w:shd w:val="clear" w:color="auto" w:fill="FFFFFF"/>
          </w:tcPr>
          <w:p>
            <w:pPr>
              <w:shd w:val="clear" w:color="auto" w:fill="FFFFFF"/>
              <w:spacing w:after="0" w:line="158" w:lineRule="exact"/>
              <w:ind w:left="231" w:right="123"/>
              <w:jc w:val="both"/>
              <w:rPr>
                <w:rFonts w:ascii="Times New Roman" w:hAnsi="Times New Roman" w:eastAsia="Times New Roman" w:cs="Times New Roman"/>
                <w:sz w:val="24"/>
                <w:szCs w:val="24"/>
                <w:lang w:eastAsia="ru-RU"/>
              </w:rPr>
            </w:pPr>
          </w:p>
          <w:p>
            <w:pPr>
              <w:spacing w:after="0" w:line="240" w:lineRule="auto"/>
              <w:ind w:left="231" w:right="123"/>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Собираемость платежей по социальному найму, %</w:t>
            </w:r>
          </w:p>
        </w:tc>
        <w:tc>
          <w:tcPr>
            <w:tcW w:w="105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jc w:val="center"/>
              <w:rPr>
                <w:rFonts w:ascii="Times New Roman" w:hAnsi="Times New Roman" w:eastAsia="Times New Roman" w:cs="Times New Roman"/>
                <w:sz w:val="24"/>
                <w:szCs w:val="24"/>
                <w:lang w:eastAsia="ru-RU"/>
              </w:rPr>
            </w:pPr>
          </w:p>
        </w:tc>
        <w:tc>
          <w:tcPr>
            <w:tcW w:w="1080"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80"/>
              <w:jc w:val="center"/>
              <w:rPr>
                <w:rFonts w:ascii="Times New Roman" w:hAnsi="Times New Roman" w:eastAsia="Times New Roman" w:cs="Times New Roman"/>
                <w:sz w:val="24"/>
                <w:szCs w:val="24"/>
                <w:lang w:eastAsia="ru-RU"/>
              </w:rPr>
            </w:pPr>
          </w:p>
        </w:tc>
        <w:tc>
          <w:tcPr>
            <w:tcW w:w="1026"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left="10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99</w:t>
            </w:r>
          </w:p>
        </w:tc>
      </w:tr>
    </w:tbl>
    <w:p>
      <w:pPr>
        <w:spacing w:after="0"/>
        <w:jc w:val="both"/>
        <w:rPr>
          <w:rFonts w:ascii="Times New Roman" w:hAnsi="Times New Roman" w:eastAsia="Times New Roman" w:cs="Times New Roman"/>
          <w:sz w:val="24"/>
          <w:szCs w:val="24"/>
          <w:lang w:eastAsia="ru-RU"/>
        </w:rPr>
      </w:pP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По состоянию на 01.01.2011 г. в очереди на улучшение жилищных условий состоит  12 семей, в том числе льготных категорий –  8 человек.</w:t>
      </w:r>
    </w:p>
    <w:p>
      <w:pPr>
        <w:spacing w:after="0" w:line="240" w:lineRule="auto"/>
        <w:ind w:left="20" w:right="20" w:firstLine="88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Дмитриевское сельское поселение является участником ОЦП «Жилище» на 2011 - 2015 годы. По подпрограмме «Обеспечение жильем молодых семей» за период 2010 – 2011 годы улучшили жилищные условия  3 молодые семьи путем приобретения жилья на вторичном рынке. </w:t>
      </w:r>
    </w:p>
    <w:p>
      <w:pPr>
        <w:spacing w:after="0" w:line="240" w:lineRule="auto"/>
        <w:ind w:left="20" w:right="20" w:firstLine="831"/>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За период 2010года улучшили жилищные условия за счёт покупки на вторичном рынке жилья на средства федерального бюджета 5 семей погибших, умерших инвалидов и участников ВОВ. В 2011 году поставлены на учет еще 4 вдовы участников Великой отечественной войны.</w:t>
      </w:r>
    </w:p>
    <w:p>
      <w:pPr>
        <w:spacing w:after="0" w:line="240" w:lineRule="auto"/>
        <w:ind w:left="20"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За период с 2011 года планируется провести капитальный ремонт четырех многоквартирных ветхих домов (32 квартиры площадью 1040 кв. метров). </w:t>
      </w:r>
    </w:p>
    <w:p>
      <w:pPr>
        <w:spacing w:after="0" w:line="240" w:lineRule="auto"/>
        <w:ind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В соответствии с новым Жилищным кодексом РФ, вступившим в силу с 1 марта </w:t>
      </w:r>
      <w:r>
        <w:rPr>
          <w:rFonts w:ascii="Times New Roman" w:hAnsi="Times New Roman" w:eastAsia="Arial Unicode MS" w:cs="Times New Roman"/>
          <w:sz w:val="24"/>
          <w:szCs w:val="24"/>
          <w:lang w:val="zh-CN"/>
        </w:rPr>
        <w:t xml:space="preserve">2005 </w:t>
      </w:r>
      <w:r>
        <w:rPr>
          <w:rFonts w:ascii="Times New Roman" w:hAnsi="Times New Roman" w:eastAsia="Arial Unicode MS" w:cs="Times New Roman"/>
          <w:sz w:val="24"/>
          <w:szCs w:val="24"/>
          <w:lang w:val="zh-CN" w:eastAsia="zh-CN"/>
        </w:rPr>
        <w:t>года, началось реформирование и модернизация системы обслу</w:t>
      </w:r>
      <w:r>
        <w:rPr>
          <w:rFonts w:ascii="Times New Roman" w:hAnsi="Times New Roman" w:eastAsia="Arial Unicode MS" w:cs="Times New Roman"/>
          <w:sz w:val="24"/>
          <w:szCs w:val="24"/>
          <w:lang w:val="zh-CN" w:eastAsia="zh-CN"/>
        </w:rPr>
        <w:softHyphen/>
      </w:r>
      <w:r>
        <w:rPr>
          <w:rFonts w:ascii="Times New Roman" w:hAnsi="Times New Roman" w:eastAsia="Arial Unicode MS" w:cs="Times New Roman"/>
          <w:sz w:val="24"/>
          <w:szCs w:val="24"/>
          <w:lang w:val="zh-CN" w:eastAsia="zh-CN"/>
        </w:rPr>
        <w:t xml:space="preserve">живания жилищного комплекса Дмитриевского сельского поселения. Однако в связи с неблагоустроенностью муниципального жилищного фонда управляющие компании не идут в сельское поселение, поэтому способ управления жилыми домами не выбран, т.к.доходы жилищных организаций - это, прежде всего, платежи населения за жилищные услуги и компенсация органов социальной защиты выпадающих доходов, связанных с предоставлением льгот в соответствии с законодательством. </w:t>
      </w:r>
    </w:p>
    <w:p>
      <w:pPr>
        <w:spacing w:after="0" w:line="240" w:lineRule="auto"/>
        <w:ind w:right="20" w:firstLine="831"/>
        <w:jc w:val="both"/>
        <w:rPr>
          <w:rFonts w:ascii="Times New Roman" w:hAnsi="Times New Roman" w:eastAsia="Arial Unicode MS" w:cs="Times New Roman"/>
          <w:sz w:val="24"/>
          <w:szCs w:val="24"/>
          <w:lang w:eastAsia="zh-CN"/>
        </w:rPr>
      </w:pPr>
      <w:r>
        <w:rPr>
          <w:rFonts w:ascii="Times New Roman" w:hAnsi="Times New Roman" w:eastAsia="Arial Unicode MS" w:cs="Times New Roman"/>
          <w:sz w:val="24"/>
          <w:szCs w:val="24"/>
          <w:lang w:val="zh-CN" w:eastAsia="zh-CN"/>
        </w:rPr>
        <w:t>Финансирование работ по выполнению капитального ремонта жилищного фонда осуществляется из средств местных бюджетов и средств собственников жилых помещений. Поскольку приватизированное жилье в многоквартирном муниципальном фонде практически отсутствует,  на эти цели до конца 2011- начало 2012 года планируется выделить 630 тыс.руб. и провести ремонт кровли   в 4 домах- в одном доме за счет средств областного бюджета капитальный ремонт крыши на сумму 600 тыс.руб., еще в 3-х домах- частичный ремонт за счет средств местного бюджета. На 2013 год планируется привлечение финансовых средств в сумме 600 тыс.руб. за счет участия поселения в ОЦП.</w:t>
      </w:r>
    </w:p>
    <w:p>
      <w:pPr>
        <w:spacing w:after="0" w:line="240" w:lineRule="auto"/>
        <w:ind w:right="20" w:firstLine="831"/>
        <w:jc w:val="both"/>
        <w:rPr>
          <w:rFonts w:ascii="Times New Roman" w:hAnsi="Times New Roman" w:eastAsia="Arial Unicode MS" w:cs="Times New Roman"/>
          <w:sz w:val="24"/>
          <w:szCs w:val="24"/>
          <w:lang w:eastAsia="zh-CN"/>
        </w:rPr>
      </w:pPr>
    </w:p>
    <w:p>
      <w:pPr>
        <w:spacing w:after="0" w:line="240" w:lineRule="auto"/>
        <w:ind w:right="20" w:firstLine="831"/>
        <w:jc w:val="both"/>
        <w:rPr>
          <w:rFonts w:ascii="Times New Roman" w:hAnsi="Times New Roman" w:eastAsia="Arial Unicode MS" w:cs="Times New Roman"/>
          <w:sz w:val="24"/>
          <w:szCs w:val="24"/>
          <w:lang w:eastAsia="zh-CN"/>
        </w:rPr>
      </w:pPr>
    </w:p>
    <w:p>
      <w:pPr>
        <w:numPr>
          <w:ilvl w:val="2"/>
          <w:numId w:val="31"/>
        </w:numPr>
        <w:spacing w:after="0" w:line="240" w:lineRule="auto"/>
        <w:ind w:right="20"/>
        <w:jc w:val="both"/>
        <w:rPr>
          <w:rFonts w:ascii="Times New Roman" w:hAnsi="Times New Roman" w:eastAsia="Arial Unicode MS" w:cs="Times New Roman"/>
          <w:b/>
          <w:sz w:val="24"/>
          <w:szCs w:val="24"/>
          <w:lang w:eastAsia="zh-CN"/>
        </w:rPr>
      </w:pPr>
      <w:r>
        <w:rPr>
          <w:rFonts w:ascii="Times New Roman" w:hAnsi="Times New Roman" w:eastAsia="Arial Unicode MS" w:cs="Times New Roman"/>
          <w:b/>
          <w:sz w:val="24"/>
          <w:szCs w:val="24"/>
          <w:lang w:val="zh-CN" w:eastAsia="zh-CN"/>
        </w:rPr>
        <w:t>МЕРОПРИЯТИЯ ПО РАЗВИТИЮ</w:t>
      </w:r>
      <w:r>
        <w:rPr>
          <w:rFonts w:ascii="Times New Roman" w:hAnsi="Times New Roman" w:eastAsia="Arial Unicode MS" w:cs="Times New Roman"/>
          <w:b/>
          <w:sz w:val="24"/>
          <w:szCs w:val="24"/>
          <w:lang w:eastAsia="zh-CN"/>
        </w:rPr>
        <w:t xml:space="preserve"> ЗЕМЕЛЬНО-ИМУЩЕСТВЕННЫХ ОТНОШЕНИЙ</w:t>
      </w:r>
    </w:p>
    <w:p>
      <w:pPr>
        <w:spacing w:after="0" w:line="240" w:lineRule="auto"/>
        <w:ind w:left="720" w:right="20"/>
        <w:jc w:val="both"/>
        <w:rPr>
          <w:rFonts w:ascii="Times New Roman" w:hAnsi="Times New Roman" w:eastAsia="Arial Unicode MS" w:cs="Times New Roman"/>
          <w:sz w:val="24"/>
          <w:szCs w:val="24"/>
          <w:lang w:eastAsia="zh-CN"/>
        </w:rPr>
      </w:pP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целью пополнения доходной части бюджета администрация Дмитриевского сельского поселения при наличии инвестиционной привлекательности территории( в первую очередь при наличии автобусного сообщения с г.Кострома)  в 2011-2013 годах готова сформировать земельные участки для строительства жилья в с.Колшево ориентировочной площадью 15 га, в с.Кистега  площадью 10 га. Всего 25 га.</w:t>
      </w: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привлечения инвестиций администрацией поселения подготовлена информация об имеющихся  площадках, по которым планируется проведение торгов и аукционов с целью заключения договоров купли-продажи или договоров аренды: </w:t>
      </w: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земельный участок площадью около 1 га с целью создания парковой зоны и зоны отдыха в с.Колшево;</w:t>
      </w: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земельный участок площадью 150 га  для ведения крестьянского хозяйства или ЛПХ</w:t>
      </w: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территории поселения имеются крупные земельные участки, представляющие интерес для потенциальных инвесторов,  расположенные рядом с автодорогой  Заволжск- Кострома. </w:t>
      </w:r>
    </w:p>
    <w:p>
      <w:pPr>
        <w:spacing w:after="0" w:line="240" w:lineRule="auto"/>
        <w:ind w:firstLine="57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Продажа указанных земельных участков позволит привлечь в бюджет поселения более 70 млн. руб., в т.ч. при возобновлении строительства моста через р. Покша на г. Кострома уже в 2012 году 4 млн. руб., большие возможности появятся для развития гостевых домов. </w:t>
      </w:r>
    </w:p>
    <w:p>
      <w:pPr>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Администрацией Дмитриевского сельского поселения ведется работа по выявлению невостребованных земельных долей и образованию из них земельных участков. Во исполнение Федерального закона № 435-ФЗ от 29.12.2010г. «О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 а так же разработанной Департаментом управления имуществом Ивановской области и утвержденной Правительством Ивановской области «Концепцией использования и распоряжения земельными ресурсами в Ивановской области» (утверждена Распоряжением Правительства Ивановской области от 16.11.2010 г. № 389), разработан План по выявлению невостребованных земельных долей и образованию из них земельных участков в границах поселения. Согласно вышеуказанному Плану собрана информация о наличии невостребованных земельных долей в границах сельскохозяйственных предприятий на территории сельских поселений; ведется подготовка к публикации списка лиц, земельные доли которых могут быть признаны невостребованными.</w:t>
      </w:r>
    </w:p>
    <w:p>
      <w:pPr>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01.08.2011 года невостребованными являются  697  земельных долей (6043 га), в т.ч. на территории СПК «Колшевский»- 338 долей (2974 га), СПК «Возрождение»- 66 долей ( 871 га), СПК «Корниловский» - 293 доли ( 2198 га).  </w:t>
      </w:r>
    </w:p>
    <w:p>
      <w:pPr>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Администрация проводит работу  по осуществлению муниципального земельного контроля. В 2011 году проведены  2 проверки физических лиц, на 2012 год составлен план проведения муниципальных земельных проверок юридических лиц и предпринимателей. </w:t>
      </w:r>
    </w:p>
    <w:p>
      <w:pPr>
        <w:spacing w:after="0"/>
        <w:ind w:firstLine="10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Имеется проблема в части наполнения бюджета поселения за счет увеличения поступлений от земельного налога и арендной платы. Ставки земельного налога установлены в поселении на основании решения Совета, отдельным категориям налогоплательщиков установлены налоговые льготы. </w:t>
      </w:r>
    </w:p>
    <w:p>
      <w:pPr>
        <w:spacing w:after="0"/>
        <w:ind w:firstLine="1080"/>
        <w:jc w:val="both"/>
        <w:rPr>
          <w:rFonts w:ascii="Times New Roman" w:hAnsi="Times New Roman" w:eastAsia="Times New Roman" w:cs="Times New Roman"/>
          <w:sz w:val="24"/>
          <w:szCs w:val="24"/>
          <w:lang w:eastAsia="ru-RU"/>
        </w:rPr>
      </w:pPr>
    </w:p>
    <w:p>
      <w:pPr>
        <w:spacing w:after="0"/>
        <w:ind w:firstLine="10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Кроме этого, на 01.08.2011 года имеется задолженность населения по налогу на землю в сумме  200 тыс. руб., задолженность юридических лиц по арендной плате за землю в сумме 256 тыс. руб.</w:t>
      </w:r>
    </w:p>
    <w:p>
      <w:pPr>
        <w:spacing w:after="0"/>
        <w:ind w:firstLine="10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Ориентировочная оценка потерь бюджета поселения  по земельному налогу и арендной плате за землю по самым минимальным подсчетам составляет около 0,5 млн. руб. в год. </w:t>
      </w:r>
    </w:p>
    <w:p>
      <w:pPr>
        <w:keepNext/>
        <w:keepLines/>
        <w:spacing w:before="480" w:after="0" w:line="240" w:lineRule="auto"/>
        <w:ind w:right="-568" w:firstLine="709"/>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3.2.5. МЕРОПРИЯТИЯ ПО РАЗВИТИЮ СОЦИАЛЬНОЙ ИНФРАСТРУКТУРЫ</w:t>
      </w:r>
      <w:r>
        <w:rPr>
          <w:rFonts w:ascii="Times New Roman" w:hAnsi="Times New Roman" w:eastAsia="Times New Roman" w:cs="Times New Roman"/>
          <w:b/>
          <w:bCs/>
          <w:sz w:val="24"/>
          <w:szCs w:val="24"/>
          <w:lang w:eastAsia="ru-RU"/>
        </w:rPr>
        <w:tab/>
      </w:r>
    </w:p>
    <w:p>
      <w:pPr>
        <w:keepNext/>
        <w:tabs>
          <w:tab w:val="left" w:pos="576"/>
        </w:tabs>
        <w:suppressAutoHyphens/>
        <w:spacing w:after="60" w:line="240" w:lineRule="auto"/>
        <w:ind w:firstLine="709"/>
        <w:contextualSpacing/>
        <w:jc w:val="both"/>
        <w:outlineLvl w:val="1"/>
        <w:rPr>
          <w:rFonts w:ascii="Times New Roman" w:hAnsi="Times New Roman" w:eastAsia="Times New Roman" w:cs="Times New Roman"/>
          <w:b/>
          <w:bCs/>
          <w:iCs/>
          <w:sz w:val="24"/>
          <w:szCs w:val="24"/>
          <w:lang w:eastAsia="ar-SA"/>
        </w:rPr>
      </w:pPr>
    </w:p>
    <w:p>
      <w:pPr>
        <w:keepNext/>
        <w:tabs>
          <w:tab w:val="left" w:pos="576"/>
        </w:tabs>
        <w:suppressAutoHyphens/>
        <w:spacing w:after="60" w:line="240" w:lineRule="auto"/>
        <w:ind w:firstLine="709"/>
        <w:contextualSpacing/>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3.2.5.1. ОБРАЗОВАНИЕ</w:t>
      </w:r>
      <w:r>
        <w:rPr>
          <w:rFonts w:ascii="Times New Roman" w:hAnsi="Times New Roman" w:eastAsia="Times New Roman" w:cs="Times New Roman"/>
          <w:b/>
          <w:bCs/>
          <w:iCs/>
          <w:sz w:val="24"/>
          <w:szCs w:val="24"/>
          <w:lang w:eastAsia="ar-SA"/>
        </w:rPr>
        <w:tab/>
      </w:r>
    </w:p>
    <w:p>
      <w:pPr>
        <w:spacing w:line="240" w:lineRule="auto"/>
        <w:ind w:firstLine="709"/>
        <w:contextualSpacing/>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Проектные предложения</w:t>
      </w:r>
    </w:p>
    <w:p>
      <w:pPr>
        <w:spacing w:line="240" w:lineRule="auto"/>
        <w:ind w:firstLine="709"/>
        <w:contextualSpacing/>
        <w:jc w:val="both"/>
        <w:rPr>
          <w:rFonts w:ascii="Times New Roman" w:hAnsi="Times New Roman" w:eastAsia="Calibri" w:cs="Times New Roman"/>
          <w:b/>
          <w:sz w:val="24"/>
          <w:szCs w:val="24"/>
          <w:lang w:eastAsia="ru-RU"/>
        </w:rPr>
      </w:pP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целях престижа хорошей и отличной учебы, формирования лидерского и патриотического поведения детей и молодежи, проживающих на территории Дмитриевского сельского поселения, администрацией поселения с 2010 года проводится конкурс «Ученик года» с премированием отличившихся детей. Итоги конкурса подводятся администрацией поселения совместно с педагогическим коллективом, лидерами школьного самоуправления, Общественным Советом поселения. Финансирование проводится за счет средств бюджета поселения.</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pPr>
        <w:numPr>
          <w:ilvl w:val="1"/>
          <w:numId w:val="12"/>
        </w:num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Сохранение сети общеобразовательных учреждений на территории Дмитриевского сельского поселения.</w:t>
      </w:r>
    </w:p>
    <w:p>
      <w:pPr>
        <w:numPr>
          <w:ilvl w:val="1"/>
          <w:numId w:val="12"/>
        </w:num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Улучшение условий получения образования за счет организации дистанционного обучения школьников, дальнейшей реализации Комплекса мер по модернизации системы общего образования Заволжского муниципального района.</w:t>
      </w:r>
    </w:p>
    <w:p>
      <w:pPr>
        <w:ind w:firstLine="709"/>
        <w:jc w:val="both"/>
        <w:rPr>
          <w:rFonts w:ascii="Times New Roman" w:hAnsi="Times New Roman" w:eastAsia="Times New Roman" w:cs="Times New Roman"/>
          <w:b/>
          <w:sz w:val="24"/>
          <w:szCs w:val="24"/>
          <w:lang w:eastAsia="ru-RU"/>
        </w:rPr>
      </w:pPr>
    </w:p>
    <w:p>
      <w:pPr>
        <w:keepNext/>
        <w:tabs>
          <w:tab w:val="left" w:pos="576"/>
        </w:tabs>
        <w:suppressAutoHyphens/>
        <w:spacing w:after="60" w:line="240" w:lineRule="auto"/>
        <w:ind w:firstLine="709"/>
        <w:jc w:val="both"/>
        <w:outlineLvl w:val="1"/>
        <w:rPr>
          <w:rFonts w:ascii="Times New Roman" w:hAnsi="Times New Roman" w:eastAsia="Times New Roman" w:cs="Times New Roman"/>
          <w:b/>
          <w:bCs/>
          <w:i/>
          <w:iCs/>
          <w:sz w:val="24"/>
          <w:szCs w:val="24"/>
          <w:lang w:eastAsia="ar-SA"/>
        </w:rPr>
      </w:pPr>
      <w:r>
        <w:rPr>
          <w:rFonts w:ascii="Times New Roman" w:hAnsi="Times New Roman" w:eastAsia="Times New Roman" w:cs="Times New Roman"/>
          <w:b/>
          <w:bCs/>
          <w:iCs/>
          <w:sz w:val="24"/>
          <w:szCs w:val="24"/>
          <w:lang w:eastAsia="ar-SA"/>
        </w:rPr>
        <w:t>3.2.5.2. ЗДРАВООХРАНЕНИЕ</w:t>
      </w:r>
      <w:r>
        <w:rPr>
          <w:rFonts w:ascii="Times New Roman" w:hAnsi="Times New Roman" w:eastAsia="Times New Roman" w:cs="Times New Roman"/>
          <w:b/>
          <w:bCs/>
          <w:i/>
          <w:iCs/>
          <w:sz w:val="24"/>
          <w:szCs w:val="24"/>
          <w:lang w:eastAsia="ar-SA"/>
        </w:rPr>
        <w:tab/>
      </w:r>
    </w:p>
    <w:p>
      <w:pPr>
        <w:spacing w:line="360" w:lineRule="auto"/>
        <w:ind w:firstLine="709"/>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Проектные предложения</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целях улучшения обеспечения сельского населения лекарствами МУЗ «Заволжская ЦРБ» получена лицензия на осуществление фармацевтической деятельности. В настоящее время осуществляется торговля лекарственными препаратами в пяти  ФАПах. </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 территории поселения заметны значительные преобразования в системе здравоохранения, ведутся работы по устранению дефицита кадров. Медицинская помощь населению Дмитриевского сельского поселения проводится в полном объеме и своевременно. Необходимо оборудовать кабинет физиолечения на центральной усадьбе - в с.Колшево.</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 целью преобразования в системе здравоохранения необходимо укрепление материально технической базы лечебных учреждений - приобретение диагностического и лабораторного оборудования.  Так же необходимо оборудовать кабинет физиолечения на центральной усадьбе - в с.Колшево.</w:t>
      </w:r>
    </w:p>
    <w:p>
      <w:pPr>
        <w:spacing w:after="0"/>
        <w:ind w:firstLine="720"/>
        <w:jc w:val="both"/>
        <w:rPr>
          <w:rFonts w:ascii="Times New Roman" w:hAnsi="Times New Roman" w:eastAsia="Times New Roman" w:cs="Times New Roman"/>
          <w:b/>
          <w:sz w:val="24"/>
          <w:szCs w:val="24"/>
        </w:rPr>
      </w:pPr>
    </w:p>
    <w:p>
      <w:pPr>
        <w:keepNext/>
        <w:tabs>
          <w:tab w:val="left" w:pos="576"/>
        </w:tabs>
        <w:suppressAutoHyphens/>
        <w:spacing w:before="240" w:after="60" w:line="240" w:lineRule="auto"/>
        <w:ind w:firstLine="709"/>
        <w:contextualSpacing/>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3.2.5.3. КУЛЬТУРА</w:t>
      </w:r>
      <w:r>
        <w:rPr>
          <w:rFonts w:ascii="Times New Roman" w:hAnsi="Times New Roman" w:eastAsia="Times New Roman" w:cs="Times New Roman"/>
          <w:b/>
          <w:bCs/>
          <w:iCs/>
          <w:sz w:val="24"/>
          <w:szCs w:val="24"/>
          <w:lang w:eastAsia="ar-SA"/>
        </w:rPr>
        <w:tab/>
      </w:r>
    </w:p>
    <w:p>
      <w:pPr>
        <w:widowControl w:val="0"/>
        <w:autoSpaceDE w:val="0"/>
        <w:autoSpaceDN w:val="0"/>
        <w:adjustRightInd w:val="0"/>
        <w:spacing w:before="24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widowControl w:val="0"/>
        <w:autoSpaceDE w:val="0"/>
        <w:autoSpaceDN w:val="0"/>
        <w:adjustRightInd w:val="0"/>
        <w:spacing w:before="240" w:line="240" w:lineRule="auto"/>
        <w:ind w:firstLine="709"/>
        <w:contextualSpacing/>
        <w:jc w:val="both"/>
        <w:rPr>
          <w:rFonts w:ascii="Times New Roman" w:hAnsi="Times New Roman" w:eastAsia="Times New Roman" w:cs="Times New Roman"/>
          <w:b/>
          <w:sz w:val="24"/>
          <w:szCs w:val="24"/>
          <w:lang w:eastAsia="ru-RU"/>
        </w:rPr>
      </w:pPr>
    </w:p>
    <w:tbl>
      <w:tblPr>
        <w:tblStyle w:val="22"/>
        <w:tblW w:w="9312" w:type="dxa"/>
        <w:tblInd w:w="40" w:type="dxa"/>
        <w:tblLayout w:type="fixed"/>
        <w:tblCellMar>
          <w:top w:w="0" w:type="dxa"/>
          <w:left w:w="40" w:type="dxa"/>
          <w:bottom w:w="0" w:type="dxa"/>
          <w:right w:w="40" w:type="dxa"/>
        </w:tblCellMar>
      </w:tblPr>
      <w:tblGrid>
        <w:gridCol w:w="7020"/>
        <w:gridCol w:w="1188"/>
        <w:gridCol w:w="1104"/>
      </w:tblGrid>
      <w:tr>
        <w:tblPrEx>
          <w:tblLayout w:type="fixed"/>
          <w:tblCellMar>
            <w:top w:w="0" w:type="dxa"/>
            <w:left w:w="40" w:type="dxa"/>
            <w:bottom w:w="0" w:type="dxa"/>
            <w:right w:w="40" w:type="dxa"/>
          </w:tblCellMar>
        </w:tblPrEx>
        <w:trPr>
          <w:trHeight w:val="394" w:hRule="exact"/>
        </w:trPr>
        <w:tc>
          <w:tcPr>
            <w:tcW w:w="7020" w:type="dxa"/>
            <w:tcBorders>
              <w:top w:val="single" w:color="auto" w:sz="6" w:space="0"/>
              <w:left w:val="single" w:color="auto" w:sz="6" w:space="0"/>
              <w:bottom w:val="nil"/>
              <w:right w:val="single" w:color="auto" w:sz="4" w:space="0"/>
            </w:tcBorders>
          </w:tcPr>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6" w:space="0"/>
              <w:left w:val="single" w:color="auto" w:sz="4" w:space="0"/>
              <w:bottom w:val="nil"/>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2010 г</w:t>
            </w:r>
          </w:p>
        </w:tc>
        <w:tc>
          <w:tcPr>
            <w:tcW w:w="1104" w:type="dxa"/>
            <w:tcBorders>
              <w:top w:val="single" w:color="auto" w:sz="6" w:space="0"/>
              <w:left w:val="single" w:color="auto" w:sz="6" w:space="0"/>
              <w:bottom w:val="nil"/>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2011 г</w:t>
            </w:r>
          </w:p>
        </w:tc>
      </w:tr>
      <w:tr>
        <w:tblPrEx>
          <w:tblLayout w:type="fixed"/>
          <w:tblCellMar>
            <w:top w:w="0" w:type="dxa"/>
            <w:left w:w="40" w:type="dxa"/>
            <w:bottom w:w="0" w:type="dxa"/>
            <w:right w:w="40" w:type="dxa"/>
          </w:tblCellMar>
        </w:tblPrEx>
        <w:trPr>
          <w:trHeight w:val="394" w:hRule="exact"/>
        </w:trPr>
        <w:tc>
          <w:tcPr>
            <w:tcW w:w="7020" w:type="dxa"/>
            <w:tcBorders>
              <w:top w:val="single" w:color="auto" w:sz="6"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pacing w:val="-3"/>
                <w:sz w:val="24"/>
                <w:szCs w:val="24"/>
                <w:lang w:eastAsia="ru-RU"/>
              </w:rPr>
              <w:t>Всего учреждений культуры:</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6"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6"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r>
      <w:tr>
        <w:tblPrEx>
          <w:tblLayout w:type="fixed"/>
          <w:tblCellMar>
            <w:top w:w="0" w:type="dxa"/>
            <w:left w:w="40" w:type="dxa"/>
            <w:bottom w:w="0" w:type="dxa"/>
            <w:right w:w="40" w:type="dxa"/>
          </w:tblCellMar>
        </w:tblPrEx>
        <w:trPr>
          <w:trHeight w:val="336"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z w:val="24"/>
                <w:szCs w:val="24"/>
                <w:lang w:eastAsia="ru-RU"/>
              </w:rPr>
              <w:t xml:space="preserve">•   </w:t>
            </w:r>
            <w:r>
              <w:rPr>
                <w:rFonts w:ascii="Times New Roman" w:hAnsi="Times New Roman" w:eastAsia="Times New Roman" w:cs="Times New Roman"/>
                <w:bCs/>
                <w:i/>
                <w:iCs/>
                <w:color w:val="212121"/>
                <w:sz w:val="24"/>
                <w:szCs w:val="24"/>
                <w:lang w:eastAsia="ru-RU"/>
              </w:rPr>
              <w:t xml:space="preserve">Клубного типа      </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r>
      <w:tr>
        <w:tblPrEx>
          <w:tblLayout w:type="fixed"/>
          <w:tblCellMar>
            <w:top w:w="0" w:type="dxa"/>
            <w:left w:w="40" w:type="dxa"/>
            <w:bottom w:w="0" w:type="dxa"/>
            <w:right w:w="40" w:type="dxa"/>
          </w:tblCellMar>
        </w:tblPrEx>
        <w:trPr>
          <w:trHeight w:val="628" w:hRule="atLeas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 xml:space="preserve">Клубных </w:t>
            </w:r>
            <w:r>
              <w:rPr>
                <w:rFonts w:ascii="Times New Roman" w:hAnsi="Times New Roman" w:eastAsia="Times New Roman" w:cs="Times New Roman"/>
                <w:bCs/>
                <w:color w:val="000000"/>
                <w:spacing w:val="-11"/>
                <w:sz w:val="24"/>
                <w:szCs w:val="24"/>
                <w:lang w:eastAsia="ru-RU"/>
              </w:rPr>
              <w:t>формирований (кружки, студии, любительские</w:t>
            </w:r>
          </w:p>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 xml:space="preserve">объединения, клубы по </w:t>
            </w:r>
            <w:r>
              <w:rPr>
                <w:rFonts w:ascii="Times New Roman" w:hAnsi="Times New Roman" w:eastAsia="Times New Roman" w:cs="Times New Roman"/>
                <w:bCs/>
                <w:color w:val="000000"/>
                <w:spacing w:val="-11"/>
                <w:sz w:val="24"/>
                <w:szCs w:val="24"/>
                <w:lang w:eastAsia="ru-RU"/>
              </w:rPr>
              <w:t>интересам)</w:t>
            </w: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p>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p>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tblPrEx>
          <w:tblLayout w:type="fixed"/>
          <w:tblCellMar>
            <w:top w:w="0" w:type="dxa"/>
            <w:left w:w="40" w:type="dxa"/>
            <w:bottom w:w="0" w:type="dxa"/>
            <w:right w:w="40" w:type="dxa"/>
          </w:tblCellMar>
        </w:tblPrEx>
        <w:trPr>
          <w:trHeight w:val="278"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0"/>
                <w:sz w:val="24"/>
                <w:szCs w:val="24"/>
                <w:lang w:eastAsia="ru-RU"/>
              </w:rPr>
              <w:t>в том числе для детей</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r>
      <w:tr>
        <w:tblPrEx>
          <w:tblLayout w:type="fixed"/>
          <w:tblCellMar>
            <w:top w:w="0" w:type="dxa"/>
            <w:left w:w="40" w:type="dxa"/>
            <w:bottom w:w="0" w:type="dxa"/>
            <w:right w:w="40" w:type="dxa"/>
          </w:tblCellMar>
        </w:tblPrEx>
        <w:trPr>
          <w:trHeight w:val="397"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Участников в клубных формированиях</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42</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78</w:t>
            </w:r>
          </w:p>
        </w:tc>
      </w:tr>
      <w:tr>
        <w:tblPrEx>
          <w:tblLayout w:type="fixed"/>
          <w:tblCellMar>
            <w:top w:w="0" w:type="dxa"/>
            <w:left w:w="40" w:type="dxa"/>
            <w:bottom w:w="0" w:type="dxa"/>
            <w:right w:w="40" w:type="dxa"/>
          </w:tblCellMar>
        </w:tblPrEx>
        <w:trPr>
          <w:trHeight w:val="352"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в том числе детей</w:t>
            </w:r>
          </w:p>
        </w:tc>
        <w:tc>
          <w:tcPr>
            <w:tcW w:w="1188" w:type="dxa"/>
            <w:tcBorders>
              <w:top w:val="single" w:color="auto" w:sz="4" w:space="0"/>
              <w:left w:val="single" w:color="auto" w:sz="4"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44</w:t>
            </w:r>
          </w:p>
        </w:tc>
      </w:tr>
      <w:tr>
        <w:tblPrEx>
          <w:tblLayout w:type="fixed"/>
          <w:tblCellMar>
            <w:top w:w="0" w:type="dxa"/>
            <w:left w:w="40" w:type="dxa"/>
            <w:bottom w:w="0" w:type="dxa"/>
            <w:right w:w="40" w:type="dxa"/>
          </w:tblCellMar>
        </w:tblPrEx>
        <w:trPr>
          <w:trHeight w:val="384"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Коллективов художественной самодеятельности</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tblPrEx>
          <w:tblLayout w:type="fixed"/>
          <w:tblCellMar>
            <w:top w:w="0" w:type="dxa"/>
            <w:left w:w="40" w:type="dxa"/>
            <w:bottom w:w="0" w:type="dxa"/>
            <w:right w:w="40" w:type="dxa"/>
          </w:tblCellMar>
        </w:tblPrEx>
        <w:trPr>
          <w:trHeight w:val="317" w:hRule="exact"/>
        </w:trPr>
        <w:tc>
          <w:tcPr>
            <w:tcW w:w="7020" w:type="dxa"/>
            <w:tcBorders>
              <w:top w:val="single" w:color="auto" w:sz="4" w:space="0"/>
              <w:left w:val="single" w:color="auto" w:sz="6" w:space="0"/>
              <w:bottom w:val="nil"/>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в них участников</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nil"/>
              <w:right w:val="single" w:color="auto" w:sz="6" w:space="0"/>
            </w:tcBorders>
          </w:tcPr>
          <w:p>
            <w:pPr>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nil"/>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p>
        </w:tc>
      </w:tr>
      <w:tr>
        <w:tblPrEx>
          <w:tblLayout w:type="fixed"/>
          <w:tblCellMar>
            <w:top w:w="0" w:type="dxa"/>
            <w:left w:w="40" w:type="dxa"/>
            <w:bottom w:w="0" w:type="dxa"/>
            <w:right w:w="40" w:type="dxa"/>
          </w:tblCellMar>
        </w:tblPrEx>
        <w:trPr>
          <w:trHeight w:val="278" w:hRule="exact"/>
        </w:trPr>
        <w:tc>
          <w:tcPr>
            <w:tcW w:w="7020" w:type="dxa"/>
            <w:tcBorders>
              <w:top w:val="nil"/>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 xml:space="preserve">детских </w:t>
            </w:r>
            <w:r>
              <w:rPr>
                <w:rFonts w:ascii="Times New Roman" w:hAnsi="Times New Roman" w:eastAsia="Times New Roman" w:cs="Times New Roman"/>
                <w:bCs/>
                <w:color w:val="000000"/>
                <w:spacing w:val="-11"/>
                <w:sz w:val="24"/>
                <w:szCs w:val="24"/>
                <w:lang w:eastAsia="ru-RU"/>
              </w:rPr>
              <w:t>коллективов</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nil"/>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nil"/>
              <w:left w:val="single" w:color="auto" w:sz="6" w:space="0"/>
              <w:bottom w:val="single" w:color="auto" w:sz="4" w:space="0"/>
              <w:right w:val="single" w:color="auto" w:sz="6"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4</w:t>
            </w:r>
          </w:p>
        </w:tc>
      </w:tr>
      <w:tr>
        <w:tblPrEx>
          <w:tblLayout w:type="fixed"/>
          <w:tblCellMar>
            <w:top w:w="0" w:type="dxa"/>
            <w:left w:w="40" w:type="dxa"/>
            <w:bottom w:w="0" w:type="dxa"/>
            <w:right w:w="40" w:type="dxa"/>
          </w:tblCellMar>
        </w:tblPrEx>
        <w:trPr>
          <w:trHeight w:val="355"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 xml:space="preserve">Проведено культурно-массовых </w:t>
            </w:r>
            <w:r>
              <w:rPr>
                <w:rFonts w:ascii="Times New Roman" w:hAnsi="Times New Roman" w:eastAsia="Times New Roman" w:cs="Times New Roman"/>
                <w:bCs/>
                <w:color w:val="000000"/>
                <w:spacing w:val="-11"/>
                <w:sz w:val="24"/>
                <w:szCs w:val="24"/>
                <w:lang w:eastAsia="ru-RU"/>
              </w:rPr>
              <w:t>мероприятий</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182</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174</w:t>
            </w:r>
          </w:p>
        </w:tc>
      </w:tr>
      <w:tr>
        <w:tblPrEx>
          <w:tblLayout w:type="fixed"/>
          <w:tblCellMar>
            <w:top w:w="0" w:type="dxa"/>
            <w:left w:w="40" w:type="dxa"/>
            <w:bottom w:w="0" w:type="dxa"/>
            <w:right w:w="40" w:type="dxa"/>
          </w:tblCellMar>
        </w:tblPrEx>
        <w:trPr>
          <w:trHeight w:val="346"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000000"/>
                <w:spacing w:val="-4"/>
                <w:sz w:val="24"/>
                <w:szCs w:val="24"/>
                <w:lang w:eastAsia="ru-RU"/>
              </w:rPr>
              <w:t xml:space="preserve">•   </w:t>
            </w:r>
            <w:r>
              <w:rPr>
                <w:rFonts w:ascii="Times New Roman" w:hAnsi="Times New Roman" w:eastAsia="Times New Roman" w:cs="Times New Roman"/>
                <w:bCs/>
                <w:i/>
                <w:iCs/>
                <w:color w:val="212121"/>
                <w:spacing w:val="-4"/>
                <w:sz w:val="24"/>
                <w:szCs w:val="24"/>
                <w:lang w:eastAsia="ru-RU"/>
              </w:rPr>
              <w:t>Библиотеки</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tblPrEx>
          <w:tblLayout w:type="fixed"/>
          <w:tblCellMar>
            <w:top w:w="0" w:type="dxa"/>
            <w:left w:w="40" w:type="dxa"/>
            <w:bottom w:w="0" w:type="dxa"/>
            <w:right w:w="40" w:type="dxa"/>
          </w:tblCellMar>
        </w:tblPrEx>
        <w:trPr>
          <w:trHeight w:val="317"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2"/>
                <w:sz w:val="24"/>
                <w:szCs w:val="24"/>
                <w:lang w:eastAsia="ru-RU"/>
              </w:rPr>
              <w:t>в них читателей</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654</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723</w:t>
            </w:r>
          </w:p>
        </w:tc>
      </w:tr>
      <w:tr>
        <w:tblPrEx>
          <w:tblLayout w:type="fixed"/>
          <w:tblCellMar>
            <w:top w:w="0" w:type="dxa"/>
            <w:left w:w="40" w:type="dxa"/>
            <w:bottom w:w="0" w:type="dxa"/>
            <w:right w:w="40" w:type="dxa"/>
          </w:tblCellMar>
        </w:tblPrEx>
        <w:trPr>
          <w:trHeight w:val="307" w:hRule="exact"/>
        </w:trPr>
        <w:tc>
          <w:tcPr>
            <w:tcW w:w="7020" w:type="dxa"/>
            <w:tcBorders>
              <w:top w:val="single" w:color="auto" w:sz="4" w:space="0"/>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в том числе детей</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170</w:t>
            </w: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single" w:color="auto" w:sz="4" w:space="0"/>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173</w:t>
            </w:r>
          </w:p>
        </w:tc>
      </w:tr>
      <w:tr>
        <w:tblPrEx>
          <w:tblLayout w:type="fixed"/>
          <w:tblCellMar>
            <w:top w:w="0" w:type="dxa"/>
            <w:left w:w="40" w:type="dxa"/>
            <w:bottom w:w="0" w:type="dxa"/>
            <w:right w:w="40" w:type="dxa"/>
          </w:tblCellMar>
        </w:tblPrEx>
        <w:trPr>
          <w:trHeight w:val="336" w:hRule="exact"/>
        </w:trPr>
        <w:tc>
          <w:tcPr>
            <w:tcW w:w="7020" w:type="dxa"/>
            <w:tcBorders>
              <w:top w:val="single" w:color="auto" w:sz="4" w:space="0"/>
              <w:left w:val="single" w:color="auto" w:sz="6" w:space="0"/>
              <w:bottom w:val="nil"/>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i/>
                <w:iCs/>
                <w:color w:val="212121"/>
                <w:spacing w:val="-6"/>
                <w:sz w:val="24"/>
                <w:szCs w:val="24"/>
                <w:lang w:eastAsia="ru-RU"/>
              </w:rPr>
              <w:t>Поступило в библиотеки печатных изданий</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single" w:color="auto" w:sz="4" w:space="0"/>
              <w:left w:val="single" w:color="auto" w:sz="4" w:space="0"/>
              <w:bottom w:val="nil"/>
              <w:right w:val="single" w:color="auto" w:sz="6" w:space="0"/>
            </w:tcBorders>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95</w:t>
            </w:r>
          </w:p>
        </w:tc>
        <w:tc>
          <w:tcPr>
            <w:tcW w:w="1104" w:type="dxa"/>
            <w:tcBorders>
              <w:top w:val="single" w:color="auto" w:sz="4" w:space="0"/>
              <w:left w:val="single" w:color="auto" w:sz="6" w:space="0"/>
              <w:bottom w:val="nil"/>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p>
        </w:tc>
      </w:tr>
      <w:tr>
        <w:tblPrEx>
          <w:tblLayout w:type="fixed"/>
          <w:tblCellMar>
            <w:top w:w="0" w:type="dxa"/>
            <w:left w:w="40" w:type="dxa"/>
            <w:bottom w:w="0" w:type="dxa"/>
            <w:right w:w="40" w:type="dxa"/>
          </w:tblCellMar>
        </w:tblPrEx>
        <w:trPr>
          <w:trHeight w:val="336" w:hRule="exact"/>
        </w:trPr>
        <w:tc>
          <w:tcPr>
            <w:tcW w:w="7020" w:type="dxa"/>
            <w:tcBorders>
              <w:top w:val="nil"/>
              <w:left w:val="single" w:color="auto" w:sz="6" w:space="0"/>
              <w:bottom w:val="single" w:color="auto" w:sz="4" w:space="0"/>
              <w:right w:val="single" w:color="auto" w:sz="4" w:space="0"/>
            </w:tcBorders>
          </w:tcPr>
          <w:p>
            <w:pPr>
              <w:shd w:val="clear" w:color="auto" w:fill="FFFFFF"/>
              <w:spacing w:after="0"/>
              <w:rPr>
                <w:rFonts w:ascii="Times New Roman" w:hAnsi="Times New Roman" w:eastAsia="Times New Roman" w:cs="Times New Roman"/>
                <w:sz w:val="24"/>
                <w:szCs w:val="24"/>
                <w:lang w:eastAsia="ru-RU"/>
              </w:rPr>
            </w:pPr>
            <w:r>
              <w:rPr>
                <w:rFonts w:ascii="Times New Roman" w:hAnsi="Times New Roman" w:eastAsia="Times New Roman" w:cs="Times New Roman"/>
                <w:bCs/>
                <w:color w:val="212121"/>
                <w:spacing w:val="-11"/>
                <w:sz w:val="24"/>
                <w:szCs w:val="24"/>
                <w:lang w:eastAsia="ru-RU"/>
              </w:rPr>
              <w:t xml:space="preserve">в том числе в муниципальные </w:t>
            </w:r>
            <w:r>
              <w:rPr>
                <w:rFonts w:ascii="Times New Roman" w:hAnsi="Times New Roman" w:eastAsia="Times New Roman" w:cs="Times New Roman"/>
                <w:bCs/>
                <w:color w:val="000000"/>
                <w:spacing w:val="-11"/>
                <w:sz w:val="24"/>
                <w:szCs w:val="24"/>
                <w:lang w:eastAsia="ru-RU"/>
              </w:rPr>
              <w:t>библиотеки</w:t>
            </w:r>
          </w:p>
          <w:p>
            <w:pPr>
              <w:shd w:val="clear" w:color="auto" w:fill="FFFFFF"/>
              <w:spacing w:after="0"/>
              <w:rPr>
                <w:rFonts w:ascii="Times New Roman" w:hAnsi="Times New Roman" w:eastAsia="Times New Roman" w:cs="Times New Roman"/>
                <w:sz w:val="24"/>
                <w:szCs w:val="24"/>
                <w:lang w:eastAsia="ru-RU"/>
              </w:rPr>
            </w:pPr>
          </w:p>
        </w:tc>
        <w:tc>
          <w:tcPr>
            <w:tcW w:w="1188" w:type="dxa"/>
            <w:tcBorders>
              <w:top w:val="nil"/>
              <w:left w:val="single" w:color="auto" w:sz="4" w:space="0"/>
              <w:bottom w:val="single" w:color="auto" w:sz="4" w:space="0"/>
              <w:right w:val="single" w:color="auto" w:sz="6" w:space="0"/>
            </w:tcBorders>
          </w:tcPr>
          <w:p>
            <w:pPr>
              <w:spacing w:after="0"/>
              <w:jc w:val="center"/>
              <w:rPr>
                <w:rFonts w:ascii="Times New Roman" w:hAnsi="Times New Roman" w:eastAsia="Times New Roman" w:cs="Times New Roman"/>
                <w:sz w:val="24"/>
                <w:szCs w:val="24"/>
                <w:lang w:eastAsia="ru-RU"/>
              </w:rPr>
            </w:pPr>
          </w:p>
          <w:p>
            <w:pPr>
              <w:shd w:val="clear" w:color="auto" w:fill="FFFFFF"/>
              <w:spacing w:after="0"/>
              <w:jc w:val="center"/>
              <w:rPr>
                <w:rFonts w:ascii="Times New Roman" w:hAnsi="Times New Roman" w:eastAsia="Times New Roman" w:cs="Times New Roman"/>
                <w:sz w:val="24"/>
                <w:szCs w:val="24"/>
                <w:lang w:eastAsia="ru-RU"/>
              </w:rPr>
            </w:pPr>
          </w:p>
        </w:tc>
        <w:tc>
          <w:tcPr>
            <w:tcW w:w="1104" w:type="dxa"/>
            <w:tcBorders>
              <w:top w:val="nil"/>
              <w:left w:val="single" w:color="auto" w:sz="6" w:space="0"/>
              <w:bottom w:val="single" w:color="auto" w:sz="4" w:space="0"/>
              <w:right w:val="single" w:color="auto" w:sz="6" w:space="0"/>
            </w:tcBorders>
          </w:tcPr>
          <w:p>
            <w:pPr>
              <w:shd w:val="clear" w:color="auto" w:fill="FFFFFF"/>
              <w:spacing w:after="0"/>
              <w:jc w:val="center"/>
              <w:rPr>
                <w:rFonts w:ascii="Times New Roman" w:hAnsi="Times New Roman" w:eastAsia="Times New Roman" w:cs="Times New Roman"/>
                <w:sz w:val="24"/>
                <w:szCs w:val="24"/>
                <w:lang w:eastAsia="ru-RU"/>
              </w:rPr>
            </w:pPr>
          </w:p>
        </w:tc>
      </w:tr>
    </w:tbl>
    <w:p>
      <w:pPr>
        <w:spacing w:after="0"/>
        <w:ind w:firstLine="540"/>
        <w:jc w:val="center"/>
        <w:rPr>
          <w:rFonts w:ascii="Times New Roman" w:hAnsi="Times New Roman" w:eastAsia="Times New Roman" w:cs="Times New Roman"/>
          <w:b/>
          <w:sz w:val="24"/>
          <w:szCs w:val="24"/>
          <w:lang w:eastAsia="ru-RU"/>
        </w:rPr>
      </w:pP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настоящее время на территории поселения работают 6 муниципальных учреждений культуры, в течение 2010 года этими учреждениями было проведено более  182  культурно-досуговых мероприятия и все профессиональные праздники.</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КБО является активным участником районных конкурсов и мероприятий.</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 2011-2013 годы </w:t>
      </w:r>
      <w:r>
        <w:rPr>
          <w:rFonts w:ascii="Times New Roman" w:hAnsi="Times New Roman" w:eastAsia="Times New Roman" w:cs="Times New Roman"/>
          <w:b/>
          <w:sz w:val="24"/>
          <w:szCs w:val="24"/>
          <w:lang w:eastAsia="ru-RU"/>
        </w:rPr>
        <w:t>в сфере культуры</w:t>
      </w:r>
      <w:r>
        <w:rPr>
          <w:rFonts w:ascii="Times New Roman" w:hAnsi="Times New Roman" w:eastAsia="Times New Roman" w:cs="Times New Roman"/>
          <w:sz w:val="24"/>
          <w:szCs w:val="24"/>
          <w:lang w:eastAsia="ru-RU"/>
        </w:rPr>
        <w:t>, администрация поселения ставит перед собой следующую   цель:</w:t>
      </w:r>
    </w:p>
    <w:p>
      <w:pPr>
        <w:spacing w:after="0" w:line="240" w:lineRule="atLeast"/>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сохранение действующей сети муниципальных учреждений культуры, укрепление материально-технической базы, оснащение противопожарным оборудованием.</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достижения  этой цели необходимо выполнение поставленных задач:</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оснащение муниципальных библиотек современным компьютерным оборудованием и создание на их базе центров правовой информации, для широкого обеспечения доступа населения к информационным ресурсам.</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установка музыкальной, усилительной и световой аппаратуры в двух учреждениях культуры в с. Колшево и д. Корнилово в рамках проекта «Сельская дискотека» реализуемого  в ведомственной Долгосрочной целевой программе Ивановской области «Социальное развитие села Ивановской области до 2012 года», утвержденной Постановлением Правительства Ивановской области 15.10.2008 г № 265-п;</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проведение комплекса ремонтных работ по реконструкции библиотеки в д. Федосцыно и клуба в с. Колшево (в 2011 году на ремонты  запланировано 130 тыс.руб.)</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p>
    <w:p>
      <w:pPr>
        <w:spacing w:after="0"/>
        <w:ind w:firstLine="851"/>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Вывод:</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Проблемы:</w:t>
      </w:r>
    </w:p>
    <w:p>
      <w:pPr>
        <w:spacing w:after="0" w:line="240" w:lineRule="atLeast"/>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сохранение действующей сети муниципальных учреждений культуры, </w:t>
      </w:r>
    </w:p>
    <w:p>
      <w:pPr>
        <w:spacing w:after="0" w:line="240" w:lineRule="atLeast"/>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укрепление материально-технической базы, оснащение противопожарным оборудованием.</w:t>
      </w:r>
    </w:p>
    <w:p>
      <w:pPr>
        <w:spacing w:after="0" w:line="240" w:lineRule="atLeast"/>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Задачи:</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Оснащение муниципальных библиотек современным компьютерным оборудованием и создание на их базе центров правовой информации, для широкого обеспечения доступа населения к информационным ресурсам.</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 Проведение комплекса ремонтных работ по реконструкции библиотеки в д.Федосцыно и Дома культуры в с.Колшево.</w:t>
      </w: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w:t>
      </w:r>
    </w:p>
    <w:p>
      <w:pPr>
        <w:spacing w:after="0"/>
        <w:ind w:firstLine="851"/>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Установка музыкальной, усилительной и световой аппаратуры в двух учреждениях культуры в рамках проекта «Сельская дискотека» реализуемого, в ведомственной Долгосрочной целевой программы Ивановской области «Социальное развитие села Ивановской области до 2012 года», утвержденной Постановлением Правительства Ивановской области 15.10.2008 г №265-п.</w:t>
      </w:r>
    </w:p>
    <w:p>
      <w:pPr>
        <w:ind w:firstLine="709"/>
        <w:jc w:val="both"/>
        <w:rPr>
          <w:rFonts w:ascii="Times New Roman" w:hAnsi="Times New Roman" w:eastAsia="Times New Roman" w:cs="Times New Roman"/>
          <w:sz w:val="24"/>
          <w:szCs w:val="24"/>
          <w:lang w:eastAsia="ru-RU"/>
        </w:rPr>
      </w:pPr>
    </w:p>
    <w:p>
      <w:pPr>
        <w:keepNext/>
        <w:tabs>
          <w:tab w:val="left" w:pos="576"/>
        </w:tabs>
        <w:suppressAutoHyphens/>
        <w:spacing w:before="240" w:after="60" w:line="240" w:lineRule="auto"/>
        <w:ind w:firstLine="709"/>
        <w:contextualSpacing/>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3.2.5.4. ФИЗКУЛЬТУРА И СПОРТ</w:t>
      </w:r>
    </w:p>
    <w:p>
      <w:pPr>
        <w:widowControl w:val="0"/>
        <w:autoSpaceDE w:val="0"/>
        <w:autoSpaceDN w:val="0"/>
        <w:adjustRightInd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widowControl w:val="0"/>
        <w:autoSpaceDE w:val="0"/>
        <w:autoSpaceDN w:val="0"/>
        <w:adjustRightInd w:val="0"/>
        <w:spacing w:line="240" w:lineRule="auto"/>
        <w:ind w:firstLine="709"/>
        <w:contextualSpacing/>
        <w:jc w:val="both"/>
        <w:rPr>
          <w:rFonts w:ascii="Times New Roman" w:hAnsi="Times New Roman" w:eastAsia="Times New Roman" w:cs="Times New Roman"/>
          <w:b/>
          <w:sz w:val="24"/>
          <w:szCs w:val="24"/>
          <w:lang w:eastAsia="ru-RU"/>
        </w:rPr>
      </w:pPr>
    </w:p>
    <w:p>
      <w:pPr>
        <w:autoSpaceDE w:val="0"/>
        <w:autoSpaceDN w:val="0"/>
        <w:adjustRightInd w:val="0"/>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 2010 – 2011 г.г.в поселении систематически занималось спортом не более 5% населения. </w:t>
      </w:r>
    </w:p>
    <w:p>
      <w:pPr>
        <w:autoSpaceDE w:val="0"/>
        <w:autoSpaceDN w:val="0"/>
        <w:adjustRightInd w:val="0"/>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благоприятных условий для массового развития физической культуры и спорта, пропаганда здорового образа жизни, организация досуга жителей  поселения - одна из важнейших задач.</w:t>
      </w:r>
    </w:p>
    <w:p>
      <w:pPr>
        <w:autoSpaceDE w:val="0"/>
        <w:autoSpaceDN w:val="0"/>
        <w:adjustRightInd w:val="0"/>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поселение в 2011 году приобретен спортивный тренажер стоимостью 20 тыс.руб., который  установлен в спортивном зале Колшевской средней школы, приобретались футбольный и волейбольные мячи для детей в д.Федосцыно.</w:t>
      </w:r>
    </w:p>
    <w:p>
      <w:pPr>
        <w:autoSpaceDE w:val="0"/>
        <w:autoSpaceDN w:val="0"/>
        <w:adjustRightInd w:val="0"/>
        <w:spacing w:after="0"/>
        <w:ind w:firstLine="851"/>
        <w:jc w:val="both"/>
        <w:rPr>
          <w:rFonts w:ascii="Times New Roman" w:hAnsi="Times New Roman" w:eastAsia="Times New Roman" w:cs="Times New Roman"/>
          <w:sz w:val="24"/>
          <w:szCs w:val="24"/>
          <w:lang w:eastAsia="ru-RU"/>
        </w:rPr>
      </w:pPr>
    </w:p>
    <w:p>
      <w:pPr>
        <w:autoSpaceDE w:val="0"/>
        <w:autoSpaceDN w:val="0"/>
        <w:adjustRightInd w:val="0"/>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года на базе Колшевской средней школы проводятся соревнования и турниры по волейболу, футболу, настольному теннису. Аналогичный турнир по волейболу  ежегодно проводится в рамках празднования Дня села Колшево 10 августа, в котором принимают участие до 5 команд. Финансирование соревнований производится за счет средств местного бюджета по разделу « Молодежная политика».</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Соревнования, в рамках районной спартакиады, прошли по 3 видам спорта.  Спортсмены поселения принимали участие в областных соревнованиях по волейболу, заняли призовые места. Вместе с детьми в спортивном зале при школе занимаются и взрослые- до 35 человек.</w:t>
      </w:r>
    </w:p>
    <w:p>
      <w:pPr>
        <w:spacing w:after="0"/>
        <w:ind w:firstLine="851"/>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Вывод:</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Проблема:</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Вовлечение населения в занятия спортом.</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Задача:</w:t>
      </w:r>
    </w:p>
    <w:p>
      <w:pPr>
        <w:spacing w:after="0"/>
        <w:ind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Агитационная работа</w:t>
      </w: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 Проведение спортивных соревнований.</w:t>
      </w:r>
    </w:p>
    <w:p>
      <w:pPr>
        <w:ind w:firstLine="709"/>
        <w:jc w:val="both"/>
        <w:rPr>
          <w:rFonts w:ascii="Times New Roman" w:hAnsi="Times New Roman" w:eastAsia="Times New Roman" w:cs="Times New Roman"/>
          <w:sz w:val="24"/>
          <w:szCs w:val="24"/>
          <w:lang w:val="zh-CN" w:eastAsia="ru-RU"/>
        </w:rPr>
      </w:pPr>
    </w:p>
    <w:p>
      <w:pPr>
        <w:keepNext/>
        <w:tabs>
          <w:tab w:val="left" w:pos="576"/>
        </w:tabs>
        <w:suppressAutoHyphens/>
        <w:spacing w:before="240" w:after="60" w:line="240" w:lineRule="auto"/>
        <w:ind w:firstLine="709"/>
        <w:contextualSpacing/>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3.2.5.5. ПРЕДПРИЯТИЯ ТОРГОВЛИ, ОБЩЕСТВЕННОГО ПИТАНИЯ И БЫТОВОГО ОБСЛУЖИВАНИЯ</w:t>
      </w:r>
    </w:p>
    <w:p>
      <w:pPr>
        <w:widowControl w:val="0"/>
        <w:autoSpaceDE w:val="0"/>
        <w:autoSpaceDN w:val="0"/>
        <w:adjustRightInd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widowControl w:val="0"/>
        <w:autoSpaceDE w:val="0"/>
        <w:autoSpaceDN w:val="0"/>
        <w:adjustRightInd w:val="0"/>
        <w:spacing w:line="240" w:lineRule="auto"/>
        <w:ind w:firstLine="709"/>
        <w:contextualSpacing/>
        <w:jc w:val="both"/>
        <w:rPr>
          <w:rFonts w:ascii="Times New Roman" w:hAnsi="Times New Roman" w:eastAsia="Times New Roman" w:cs="Times New Roman"/>
          <w:b/>
          <w:i/>
          <w:sz w:val="24"/>
          <w:szCs w:val="24"/>
          <w:lang w:eastAsia="ru-RU"/>
        </w:rPr>
      </w:pPr>
    </w:p>
    <w:p>
      <w:pPr>
        <w:keepNext/>
        <w:numPr>
          <w:ilvl w:val="0"/>
          <w:numId w:val="32"/>
        </w:numPr>
        <w:spacing w:after="0" w:line="240" w:lineRule="auto"/>
        <w:contextualSpacing/>
        <w:jc w:val="both"/>
        <w:outlineLvl w:val="0"/>
        <w:rPr>
          <w:rFonts w:ascii="Times New Roman" w:hAnsi="Times New Roman" w:eastAsia="Times New Roman" w:cs="Times New Roman"/>
          <w:sz w:val="24"/>
          <w:szCs w:val="24"/>
          <w:lang w:eastAsia="ru-RU"/>
        </w:rPr>
      </w:pPr>
      <w:bookmarkStart w:id="39" w:name="_Toc312169670"/>
      <w:bookmarkStart w:id="40" w:name="_Toc312173940"/>
      <w:bookmarkStart w:id="41" w:name="_Toc312171203"/>
      <w:r>
        <w:rPr>
          <w:rFonts w:ascii="Times New Roman" w:hAnsi="Times New Roman" w:eastAsia="Times New Roman" w:cs="Times New Roman"/>
          <w:sz w:val="24"/>
          <w:szCs w:val="24"/>
          <w:lang w:eastAsia="ru-RU"/>
        </w:rPr>
        <w:t>повышение качества обслуживания населения;</w:t>
      </w:r>
      <w:bookmarkEnd w:id="39"/>
      <w:bookmarkEnd w:id="40"/>
      <w:bookmarkEnd w:id="41"/>
    </w:p>
    <w:p>
      <w:pPr>
        <w:keepNext/>
        <w:numPr>
          <w:ilvl w:val="0"/>
          <w:numId w:val="32"/>
        </w:numPr>
        <w:spacing w:after="0" w:line="240" w:lineRule="auto"/>
        <w:contextualSpacing/>
        <w:jc w:val="both"/>
        <w:outlineLvl w:val="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расширение и внедрение форм обслуживания, пользующихся спросом.</w:t>
      </w:r>
    </w:p>
    <w:p>
      <w:pPr>
        <w:keepNext/>
        <w:keepLines/>
        <w:numPr>
          <w:ilvl w:val="1"/>
          <w:numId w:val="31"/>
        </w:numPr>
        <w:spacing w:before="480" w:after="0" w:line="240" w:lineRule="auto"/>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МЕРОПРИЯТИЯ ПО ИЗМЕНЕНИЮ ГРАНИЦ</w:t>
      </w:r>
    </w:p>
    <w:p>
      <w:pPr>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В проекте Генерального плана Дмитриевского сельского поселения </w:t>
      </w:r>
      <w:bookmarkStart w:id="42" w:name="_Toc312173943"/>
      <w:bookmarkStart w:id="43" w:name="_Toc312171206"/>
      <w:r>
        <w:rPr>
          <w:rFonts w:ascii="Times New Roman" w:hAnsi="Times New Roman" w:eastAsia="Times New Roman" w:cs="Times New Roman"/>
          <w:sz w:val="24"/>
          <w:szCs w:val="24"/>
          <w:lang w:eastAsia="ru-RU"/>
        </w:rPr>
        <w:t>изменение границ и категории земель не требуется, в связи с достаточным количеством свободных земель в границах населенных пунктов.</w:t>
      </w:r>
    </w:p>
    <w:p>
      <w:pPr>
        <w:keepNext/>
        <w:keepLines/>
        <w:spacing w:before="480" w:after="0" w:line="240" w:lineRule="auto"/>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3.4. МЕРОПРИЯТИЯ ПО ОХРАНЕ ОБЪЕКТОВ ИСТОРИКО-КУЛЬТУРНОГО НАСЛЕДИЯ</w:t>
      </w:r>
      <w:bookmarkEnd w:id="42"/>
      <w:bookmarkEnd w:id="43"/>
      <w:r>
        <w:rPr>
          <w:rFonts w:ascii="Times New Roman" w:hAnsi="Times New Roman" w:eastAsia="Times New Roman" w:cs="Times New Roman"/>
          <w:b/>
          <w:bCs/>
          <w:sz w:val="24"/>
          <w:szCs w:val="24"/>
          <w:lang w:eastAsia="ru-RU"/>
        </w:rPr>
        <w:tab/>
      </w:r>
    </w:p>
    <w:p>
      <w:pPr>
        <w:spacing w:before="12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before="120" w:line="240" w:lineRule="auto"/>
        <w:ind w:firstLine="709"/>
        <w:contextualSpacing/>
        <w:jc w:val="both"/>
        <w:rPr>
          <w:rFonts w:ascii="Times New Roman" w:hAnsi="Times New Roman" w:eastAsia="Times New Roman" w:cs="Times New Roman"/>
          <w:b/>
          <w:sz w:val="24"/>
          <w:szCs w:val="24"/>
          <w:lang w:eastAsia="ru-RU"/>
        </w:rPr>
      </w:pPr>
    </w:p>
    <w:p>
      <w:pPr>
        <w:spacing w:after="0"/>
        <w:ind w:firstLine="426"/>
        <w:jc w:val="both"/>
        <w:rPr>
          <w:rFonts w:ascii="Times New Roman" w:hAnsi="Times New Roman" w:eastAsia="Times New Roman" w:cs="Times New Roman"/>
          <w:sz w:val="24"/>
          <w:szCs w:val="24"/>
          <w:lang w:eastAsia="ru-RU"/>
        </w:rPr>
      </w:pPr>
      <w:bookmarkStart w:id="44" w:name="_Toc312171207"/>
      <w:bookmarkStart w:id="45" w:name="_Toc312173944"/>
      <w:r>
        <w:rPr>
          <w:rFonts w:ascii="Times New Roman" w:hAnsi="Times New Roman" w:eastAsia="Times New Roman" w:cs="Times New Roman"/>
          <w:sz w:val="24"/>
          <w:szCs w:val="24"/>
          <w:lang w:eastAsia="ru-RU"/>
        </w:rPr>
        <w:t>На каждый объект культурного наследия должны быть разработаны проекты зон охраны и в их составе показаны границы охранных зон. Определение границ  охраняемого объекта позволит разработать для него градостроительные регламенты с определением разрешенного использования земельных участков, установлением охранных ограничений.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Границы зон охраны объекта культурного наследия регионального значения, местного (муниципального) значения, выявленных объектов культурного наследия до принятия решения о включении их в реестр либо об отказе включить данный объект в реестр, подлежащих государственной охране в соответствии с федеральным законодательством, режимы использования земель и градостроительные регламенты в границах данных зон охраны утверждаются Правительством Ивановской области по предоставлению областного органа охраны объектов культурного наследия на основании проекта зон охраны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Проекты режимов использования земель и градостроительных регламентов в границах зон охраны объектов культурного наследия должны разрабатываться с учетом Положения о зонах охраны объектов культурного наследия (памятников истории и культуры) народов Российской Федерации, утвержденного постановлением Правительства Российской Федерации от 26.04.2008 №315.</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xml:space="preserve">Для сохранения объектов культурного наследия в его исторической среде на сопряженной с ним территории устанавливаются зоны охраны: охранная зона, зона регулирования застройки и хозяйственной деятельности, зона охраняемого природного ландшафта.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Особый режим использования земель и градостроительный регламент в границах охранной зоны должен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1)запрещение строительства, за исключением применения специальных мер, направленных на сохранение и восстановление (регенерацию) историко- градостроительной или природной среды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2)ограничение капитального ремонта и реконструкции объектов капитального строительства и их частей, в том числе касающиеся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3)ограничение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 п.), а также регулирование проведения работ по озеленению;</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4)обеспечение пожарной безопасности объектов культурного наследия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5)сохранение гидрогеологических и экологических условий, необходимых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6)благоустройство территории охранной зоны, направленное на сохранение, использование и популяризацию объекта культурного наследия, а также на сохранение и восстановление градостроительных (планировочных, типологических, масштабных) характеристик его историко-градостроительной и природной среды;</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7)иные требования, необходимые для обеспечения сохранности объекта культурного наследия в его историческом и ландшафтном окружении.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Режим использования земель и градостроительный регламент в границах зоны регулирования застройки и хозяйственной деятельности должен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1)ограничение строительства, необходимое для обеспечения сохранности объекта культурного наследия,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2)ограничение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3)сохранение исторически сложившихся границ земельных участков, в том числе ограничение их изменения при проведении землеустройства, а также разделения земельных участков;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4)обеспечение визуального восприятия объекта культурного наследия в его историко-градостроительной и природной среде;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5)ограничение хозяйственной деятельности,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 п.), а также регулирование проведения работ по озеленению;</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6)обеспечение пожарной безопасности объекта культурного наследия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7)сохранение гидрогеологических и экологических условий, необходимых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8)обеспечение сохранности всех исторически ценных градоформирующих объектов;</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9)иные требования, необходимые для обеспечения сохранности объекта культурного наследия.</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Режим использования земель и градостроительный регламент в границах зоны охраняемого природного ландшафта должны устанавливаться с учетом следующих требований: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1)запрещение или ограничение хозяйственной деятельности, строительства,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2)обеспечение пожарной безопасности охраняемого природного ландшафта и его защиты от динамических воздействий;</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3)сохранение гидрологических и экологических условий, необходимых для обеспечения сохранности и восстановления (регенерации) охраняемого природного ландшафта;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4)сохранение и восстановление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5)иные требования, необходимые для сохранения и восстановления (регенерации) охраняемого природного ландшафта.</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Соблюдение режимов использования земель и градостроительных регламентов в границах зон охраны объектов культурного наследия является обязательным при осуществлении градостроительной, хозяйственной и иной деятельности.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В настоящее время необходимо провести актуализацию ранее выполненных проектов, для чего необходимо выполнить корректировки проектов охранных зон с установлением градостроительных регламентов и внесением их в соответствующие Правила землепользования и застройки.</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Решением Ивановского областного Совета народных депутатов от 16.07.1973 №408 были утверждены проекты охранных зон и зон регулирования застройки памятников истории и архитектуры.</w:t>
      </w:r>
    </w:p>
    <w:p>
      <w:pPr>
        <w:widowControl w:val="0"/>
        <w:numPr>
          <w:ilvl w:val="0"/>
          <w:numId w:val="19"/>
        </w:numPr>
        <w:suppressAutoHyphens/>
        <w:spacing w:after="0" w:line="240" w:lineRule="auto"/>
        <w:ind w:left="720"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 ансамбля культовых и гражданских зданий </w:t>
      </w:r>
      <w:r>
        <w:rPr>
          <w:rFonts w:ascii="Times New Roman" w:hAnsi="Times New Roman" w:eastAsia="Times New Roman" w:cs="Times New Roman"/>
          <w:sz w:val="24"/>
          <w:szCs w:val="24"/>
          <w:lang w:val="en-US" w:eastAsia="ru-RU"/>
        </w:rPr>
        <w:t>XVIII</w:t>
      </w:r>
      <w:r>
        <w:rPr>
          <w:rFonts w:ascii="Times New Roman" w:hAnsi="Times New Roman" w:eastAsia="Times New Roman" w:cs="Times New Roman"/>
          <w:sz w:val="24"/>
          <w:szCs w:val="24"/>
          <w:lang w:eastAsia="ru-RU"/>
        </w:rPr>
        <w:t xml:space="preserve"> – </w:t>
      </w:r>
      <w:r>
        <w:rPr>
          <w:rFonts w:ascii="Times New Roman" w:hAnsi="Times New Roman" w:eastAsia="Times New Roman" w:cs="Times New Roman"/>
          <w:sz w:val="24"/>
          <w:szCs w:val="24"/>
          <w:lang w:val="en-US" w:eastAsia="ru-RU"/>
        </w:rPr>
        <w:t>XIX</w:t>
      </w:r>
      <w:r>
        <w:rPr>
          <w:rFonts w:ascii="Times New Roman" w:hAnsi="Times New Roman" w:eastAsia="Times New Roman" w:cs="Times New Roman"/>
          <w:sz w:val="24"/>
          <w:szCs w:val="24"/>
          <w:lang w:eastAsia="ru-RU"/>
        </w:rPr>
        <w:t xml:space="preserve"> в (с. Колшево) </w:t>
      </w:r>
    </w:p>
    <w:p>
      <w:pPr>
        <w:spacing w:after="0"/>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Границы зон охраны, режимы использования земель и градостроительные регламенты данных объектов требуют корректировки с учетом существующей ситуации.</w:t>
      </w:r>
    </w:p>
    <w:p>
      <w:pPr>
        <w:keepNext/>
        <w:keepLines/>
        <w:spacing w:before="480" w:after="0" w:line="240" w:lineRule="auto"/>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3.5. МЕРОПРИЯТИЯ ПО РАЗВИТИЮ ТРАНСПОРТНОЙ ИНФРАСТРУКТУРЫ</w:t>
      </w:r>
      <w:bookmarkEnd w:id="44"/>
      <w:bookmarkEnd w:id="45"/>
    </w:p>
    <w:p>
      <w:pPr>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line="240" w:lineRule="auto"/>
        <w:ind w:firstLine="709"/>
        <w:contextualSpacing/>
        <w:jc w:val="both"/>
        <w:rPr>
          <w:rFonts w:ascii="Times New Roman" w:hAnsi="Times New Roman" w:eastAsia="Times New Roman" w:cs="Times New Roman"/>
          <w:b/>
          <w:sz w:val="24"/>
          <w:szCs w:val="24"/>
          <w:lang w:eastAsia="ru-RU"/>
        </w:rPr>
      </w:pP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Рост экономической активности и уровень комфортного проживания в поселении в значительной степени зависят от состояния дорожно-транспортной системы.</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Транспортные связи Дмитриевского сельского поселения с г.Заволжск, г.Кинешма, г. Иваново и </w:t>
      </w:r>
      <w:r>
        <w:rPr>
          <w:rFonts w:ascii="Times New Roman" w:hAnsi="Times New Roman" w:eastAsia="Arial Unicode MS" w:cs="Times New Roman"/>
          <w:sz w:val="24"/>
          <w:szCs w:val="24"/>
          <w:lang w:eastAsia="zh-CN"/>
        </w:rPr>
        <w:t>другими населенными пунктами</w:t>
      </w:r>
      <w:r>
        <w:rPr>
          <w:rFonts w:ascii="Times New Roman" w:hAnsi="Times New Roman" w:eastAsia="Arial Unicode MS" w:cs="Times New Roman"/>
          <w:sz w:val="24"/>
          <w:szCs w:val="24"/>
          <w:lang w:val="zh-CN" w:eastAsia="zh-CN"/>
        </w:rPr>
        <w:t xml:space="preserve"> осуществляются автомобильным транспортом. Протяженность автомобильных дорог общего пользования, проходящих по территории района, составляет:</w:t>
      </w:r>
    </w:p>
    <w:p>
      <w:pPr>
        <w:spacing w:after="0" w:line="240" w:lineRule="auto"/>
        <w:ind w:right="23"/>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 регионального подчинения – </w:t>
      </w:r>
      <w:r>
        <w:rPr>
          <w:rFonts w:ascii="Times New Roman" w:hAnsi="Times New Roman" w:eastAsia="Arial Unicode MS" w:cs="Times New Roman"/>
          <w:sz w:val="24"/>
          <w:szCs w:val="24"/>
          <w:lang w:eastAsia="zh-CN"/>
        </w:rPr>
        <w:t>54,88</w:t>
      </w:r>
      <w:r>
        <w:rPr>
          <w:rFonts w:ascii="Times New Roman" w:hAnsi="Times New Roman" w:eastAsia="Arial Unicode MS" w:cs="Times New Roman"/>
          <w:sz w:val="24"/>
          <w:szCs w:val="24"/>
          <w:lang w:val="zh-CN" w:eastAsia="zh-CN"/>
        </w:rPr>
        <w:t xml:space="preserve"> км;</w:t>
      </w:r>
    </w:p>
    <w:p>
      <w:pPr>
        <w:spacing w:after="0" w:line="240" w:lineRule="auto"/>
        <w:ind w:right="23"/>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w:t>
      </w:r>
      <w:r>
        <w:rPr>
          <w:rFonts w:ascii="Times New Roman" w:hAnsi="Times New Roman" w:eastAsia="Arial Unicode MS" w:cs="Times New Roman"/>
          <w:sz w:val="24"/>
          <w:szCs w:val="24"/>
          <w:lang w:eastAsia="zh-CN"/>
        </w:rPr>
        <w:t xml:space="preserve"> межмуниципального значения – 102,61</w:t>
      </w:r>
      <w:r>
        <w:rPr>
          <w:rFonts w:ascii="Times New Roman" w:hAnsi="Times New Roman" w:eastAsia="Arial Unicode MS" w:cs="Times New Roman"/>
          <w:sz w:val="24"/>
          <w:szCs w:val="24"/>
          <w:lang w:val="zh-CN" w:eastAsia="zh-CN"/>
        </w:rPr>
        <w:t>;</w:t>
      </w:r>
    </w:p>
    <w:p>
      <w:pPr>
        <w:spacing w:after="0" w:line="240" w:lineRule="auto"/>
        <w:ind w:right="23"/>
        <w:jc w:val="both"/>
        <w:rPr>
          <w:rFonts w:ascii="Times New Roman" w:hAnsi="Times New Roman" w:eastAsia="Arial Unicode MS" w:cs="Times New Roman"/>
          <w:sz w:val="24"/>
          <w:szCs w:val="24"/>
          <w:lang w:eastAsia="zh-CN"/>
        </w:rPr>
      </w:pPr>
      <w:r>
        <w:rPr>
          <w:rFonts w:ascii="Times New Roman" w:hAnsi="Times New Roman" w:eastAsia="Arial Unicode MS" w:cs="Times New Roman"/>
          <w:sz w:val="24"/>
          <w:szCs w:val="24"/>
          <w:lang w:val="zh-CN" w:eastAsia="zh-CN"/>
        </w:rPr>
        <w:t xml:space="preserve">- </w:t>
      </w:r>
      <w:r>
        <w:rPr>
          <w:rFonts w:ascii="Times New Roman" w:hAnsi="Times New Roman" w:eastAsia="Arial Unicode MS" w:cs="Times New Roman"/>
          <w:sz w:val="24"/>
          <w:szCs w:val="24"/>
          <w:lang w:eastAsia="zh-CN"/>
        </w:rPr>
        <w:t>местного значения – 140,325 км, в том числе:</w:t>
      </w:r>
    </w:p>
    <w:p>
      <w:pPr>
        <w:spacing w:after="0" w:line="240" w:lineRule="auto"/>
        <w:ind w:right="23"/>
        <w:rPr>
          <w:rFonts w:ascii="Times New Roman" w:hAnsi="Times New Roman" w:eastAsia="Arial Unicode MS" w:cs="Times New Roman"/>
          <w:sz w:val="24"/>
          <w:szCs w:val="24"/>
          <w:lang w:eastAsia="zh-CN"/>
        </w:rPr>
      </w:pPr>
      <w:r>
        <w:rPr>
          <w:rFonts w:ascii="Times New Roman" w:hAnsi="Times New Roman" w:eastAsia="Arial Unicode MS" w:cs="Times New Roman"/>
          <w:sz w:val="24"/>
          <w:szCs w:val="24"/>
          <w:lang w:eastAsia="zh-CN"/>
        </w:rPr>
        <w:t>Автомобильные дороги местного значения в границах Дмитриевкого сельского поселения – 13,63 км.</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Бесхозных дорог нет.</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По видам покрытия автодороги подразделяются на: </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с асфальтобетонным покрытием                    32  км;</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в щебеночном и грунтовом исполнении        6 км.</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Региональную автодорогу обслуживает ОАО «Заволжское ДРСУ»,  а муниципальные дороги на основании заключенных договоров с владельцами спецтехники – администрация поселения.</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В связи с  крайне недостаточным уровнем финансирования на проведение текущих и капитальных ремонтов состояние улично-дорожной сети остается одной из острейших проблем поселения.</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Кроме этого, населением очень востребован маршрут по дороге Колшево- Кострома, протяженность которого составляет 43 км. До границы с Костромской областью по территории Ивановской произведена ликвидация грунтового разрыва протяженностью 2,8 км, однако далее отсутствует мост через р.Покша .Из-за отсутствия этой дороги теряет инвестиционную привлекательность не только Дмитриевское сельское поселение, но и Заволжский район. В 2010-2011годах Совет и администрация поселения неоднократно обращались ко всем уровням власти по этому вопросу, в 2012 году в бюджете планируется привлечение  средств на строительство моста в размере 60 млн.руб., в т.ч. 50 млн.руб.- средства инвесторов, 10 млн.руб.- средства областного бюджета.</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 Тревогу вызывает состояние дороги «Посулово- Сногищево» в связи с прохождением по ней школьного маршрута.</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В целях проведения мероприятий, направленных на повышение безопасности дорожного движения, в 2010году в Департамент дорожного хозяйства Ивановской области были направлены депутатские запросы и ходатайства администрации поселения об установке знаков дорожного движения « Федосц</w:t>
      </w:r>
      <w:r>
        <w:rPr>
          <w:rFonts w:ascii="Times New Roman" w:hAnsi="Times New Roman" w:eastAsia="Arial Unicode MS" w:cs="Times New Roman"/>
          <w:sz w:val="24"/>
          <w:szCs w:val="24"/>
          <w:lang w:eastAsia="zh-CN"/>
        </w:rPr>
        <w:t>ы</w:t>
      </w:r>
      <w:r>
        <w:rPr>
          <w:rFonts w:ascii="Times New Roman" w:hAnsi="Times New Roman" w:eastAsia="Arial Unicode MS" w:cs="Times New Roman"/>
          <w:sz w:val="24"/>
          <w:szCs w:val="24"/>
          <w:lang w:val="zh-CN" w:eastAsia="zh-CN"/>
        </w:rPr>
        <w:t>но» и « Перегон скота».Оба знака были установлены в 2010 году. В 2011 году необходима установка знака «Переход диких животных» в районе д.Сорвирогово на дороге Колшево – Заволжск, а также  устройство автобусной остановки для школьников в д. Федосц</w:t>
      </w:r>
      <w:r>
        <w:rPr>
          <w:rFonts w:ascii="Times New Roman" w:hAnsi="Times New Roman" w:eastAsia="Arial Unicode MS" w:cs="Times New Roman"/>
          <w:sz w:val="24"/>
          <w:szCs w:val="24"/>
          <w:lang w:eastAsia="zh-CN"/>
        </w:rPr>
        <w:t>ы</w:t>
      </w:r>
      <w:r>
        <w:rPr>
          <w:rFonts w:ascii="Times New Roman" w:hAnsi="Times New Roman" w:eastAsia="Arial Unicode MS" w:cs="Times New Roman"/>
          <w:sz w:val="24"/>
          <w:szCs w:val="24"/>
          <w:lang w:val="zh-CN" w:eastAsia="zh-CN"/>
        </w:rPr>
        <w:t xml:space="preserve">но.   </w:t>
      </w:r>
    </w:p>
    <w:p>
      <w:pPr>
        <w:spacing w:after="0" w:line="240" w:lineRule="auto"/>
        <w:ind w:left="20" w:right="23" w:firstLine="700"/>
        <w:jc w:val="both"/>
        <w:rPr>
          <w:rFonts w:ascii="Times New Roman" w:hAnsi="Times New Roman" w:eastAsia="Arial Unicode MS" w:cs="Times New Roman"/>
          <w:sz w:val="24"/>
          <w:szCs w:val="24"/>
          <w:lang w:val="zh-CN" w:eastAsia="zh-CN"/>
        </w:rPr>
      </w:pPr>
      <w:r>
        <w:rPr>
          <w:rFonts w:ascii="Times New Roman" w:hAnsi="Times New Roman" w:eastAsia="Arial Unicode MS" w:cs="Arial"/>
          <w:bCs/>
          <w:sz w:val="24"/>
          <w:szCs w:val="24"/>
          <w:lang w:eastAsia="ru-RU"/>
        </w:rPr>
        <w:t>Пассажирские перевозки</w:t>
      </w:r>
      <w:r>
        <w:rPr>
          <w:rFonts w:ascii="Times New Roman" w:hAnsi="Times New Roman" w:eastAsia="Arial Unicode MS" w:cs="Times New Roman"/>
          <w:sz w:val="24"/>
          <w:szCs w:val="24"/>
          <w:lang w:val="zh-CN" w:eastAsia="zh-CN"/>
        </w:rPr>
        <w:t xml:space="preserve"> осуществляет ИП «Кузнецова». Сеть транспортного обслуживания населения состоит из 3-х маршрутов (1 внутри муниципальный и 2 межмуниципальных с выходом на районный центр и г.Кинешму), которые позволяют обеспечить автобусным сообщением 70 % постоянно проживающего населения. </w:t>
      </w:r>
    </w:p>
    <w:p>
      <w:pPr>
        <w:spacing w:after="0" w:line="240" w:lineRule="auto"/>
        <w:ind w:left="720" w:hanging="720"/>
        <w:contextualSpacing/>
        <w:jc w:val="both"/>
        <w:rPr>
          <w:rFonts w:ascii="Times New Roman" w:hAnsi="Times New Roman" w:eastAsia="Times New Roman" w:cs="Times New Roman"/>
          <w:b/>
          <w:sz w:val="24"/>
          <w:lang w:eastAsia="ru-RU"/>
        </w:rPr>
      </w:pPr>
    </w:p>
    <w:p>
      <w:pPr>
        <w:spacing w:after="0" w:line="240" w:lineRule="auto"/>
        <w:ind w:firstLine="426"/>
        <w:contextualSpacing/>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Вывод:</w:t>
      </w:r>
    </w:p>
    <w:p>
      <w:pPr>
        <w:tabs>
          <w:tab w:val="left" w:pos="0"/>
        </w:tabs>
        <w:spacing w:after="0" w:line="240" w:lineRule="auto"/>
        <w:ind w:right="20" w:firstLine="831"/>
        <w:jc w:val="both"/>
        <w:rPr>
          <w:rFonts w:ascii="Times New Roman" w:hAnsi="Times New Roman" w:eastAsia="Arial Unicode MS" w:cs="Arial"/>
          <w:bCs/>
          <w:sz w:val="24"/>
          <w:szCs w:val="24"/>
          <w:lang w:eastAsia="ru-RU"/>
        </w:rPr>
      </w:pPr>
      <w:r>
        <w:rPr>
          <w:rFonts w:ascii="Times New Roman" w:hAnsi="Times New Roman" w:eastAsia="Arial Unicode MS" w:cs="Arial"/>
          <w:bCs/>
          <w:sz w:val="24"/>
          <w:szCs w:val="24"/>
          <w:lang w:eastAsia="ru-RU"/>
        </w:rPr>
        <w:t>Проблемы:</w:t>
      </w:r>
    </w:p>
    <w:p>
      <w:pPr>
        <w:tabs>
          <w:tab w:val="left" w:pos="0"/>
        </w:tabs>
        <w:spacing w:after="0" w:line="240" w:lineRule="auto"/>
        <w:ind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Arial"/>
          <w:b/>
          <w:bCs/>
          <w:sz w:val="24"/>
          <w:szCs w:val="24"/>
          <w:lang w:eastAsia="ru-RU"/>
        </w:rPr>
        <w:t xml:space="preserve"> </w:t>
      </w:r>
      <w:r>
        <w:rPr>
          <w:rFonts w:ascii="Times New Roman" w:hAnsi="Times New Roman" w:eastAsia="Arial Unicode MS" w:cs="Arial"/>
          <w:bCs/>
          <w:sz w:val="24"/>
          <w:szCs w:val="24"/>
          <w:lang w:eastAsia="ru-RU"/>
        </w:rPr>
        <w:t>- состояние автомобильных дорог, не соответствующее нормативным требованиям</w:t>
      </w:r>
      <w:r>
        <w:rPr>
          <w:rFonts w:ascii="Times New Roman" w:hAnsi="Times New Roman" w:eastAsia="Arial Unicode MS" w:cs="Times New Roman"/>
          <w:sz w:val="24"/>
          <w:szCs w:val="24"/>
          <w:lang w:val="zh-CN" w:eastAsia="zh-CN"/>
        </w:rPr>
        <w:t>.</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46" w:name="bookmark73"/>
      <w:r>
        <w:rPr>
          <w:rFonts w:ascii="Times New Roman" w:hAnsi="Times New Roman" w:eastAsia="Arial Unicode MS" w:cs="Times New Roman"/>
          <w:bCs/>
          <w:sz w:val="24"/>
          <w:szCs w:val="24"/>
          <w:lang w:val="zh-CN" w:eastAsia="zh-CN"/>
        </w:rPr>
        <w:t>Задачи:</w:t>
      </w:r>
      <w:bookmarkEnd w:id="46"/>
    </w:p>
    <w:p>
      <w:pPr>
        <w:tabs>
          <w:tab w:val="left" w:pos="0"/>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Приведение автодорог в надлежащее состояние.</w:t>
      </w: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w:t>
      </w:r>
    </w:p>
    <w:p>
      <w:pPr>
        <w:tabs>
          <w:tab w:val="left" w:pos="0"/>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Выполнение текущего ремонта автомобильных дорог для поддержания их в удовлетворительном состоянии.</w:t>
      </w:r>
    </w:p>
    <w:p>
      <w:pPr>
        <w:spacing w:after="0" w:line="240" w:lineRule="auto"/>
        <w:ind w:left="720" w:hanging="720"/>
        <w:contextualSpacing/>
        <w:jc w:val="both"/>
        <w:rPr>
          <w:rFonts w:ascii="Times New Roman" w:hAnsi="Times New Roman" w:eastAsia="Times New Roman" w:cs="Times New Roman"/>
          <w:b/>
          <w:sz w:val="24"/>
          <w:lang w:val="zh-CN" w:eastAsia="ru-RU"/>
        </w:rPr>
      </w:pPr>
    </w:p>
    <w:p>
      <w:pPr>
        <w:spacing w:after="0" w:line="240" w:lineRule="auto"/>
        <w:ind w:left="720" w:hanging="720"/>
        <w:contextualSpacing/>
        <w:jc w:val="both"/>
        <w:rPr>
          <w:rFonts w:ascii="Times New Roman" w:hAnsi="Times New Roman" w:eastAsia="Times New Roman" w:cs="Times New Roman"/>
          <w:b/>
          <w:sz w:val="24"/>
          <w:lang w:eastAsia="ru-RU"/>
        </w:rPr>
      </w:pPr>
    </w:p>
    <w:p>
      <w:pPr>
        <w:spacing w:after="0" w:line="240" w:lineRule="auto"/>
        <w:ind w:left="720" w:hanging="720"/>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lang w:eastAsia="ru-RU"/>
        </w:rPr>
        <w:t xml:space="preserve">3.6. </w:t>
      </w:r>
      <w:r>
        <w:rPr>
          <w:rFonts w:ascii="Times New Roman" w:hAnsi="Times New Roman" w:eastAsia="Times New Roman" w:cs="Times New Roman"/>
          <w:b/>
          <w:sz w:val="24"/>
          <w:szCs w:val="24"/>
          <w:lang w:eastAsia="ru-RU"/>
        </w:rPr>
        <w:t>БЛАГОУСТРОЙСТВО ТЕРРИТОРИИ ПОСЕЛЕНИЯ</w:t>
      </w:r>
    </w:p>
    <w:p>
      <w:pPr>
        <w:spacing w:after="0" w:line="240" w:lineRule="auto"/>
        <w:ind w:left="720" w:hanging="720"/>
        <w:contextualSpacing/>
        <w:jc w:val="both"/>
        <w:rPr>
          <w:rFonts w:ascii="Times New Roman" w:hAnsi="Times New Roman" w:eastAsia="Times New Roman" w:cs="Times New Roman"/>
          <w:b/>
          <w:sz w:val="24"/>
          <w:szCs w:val="24"/>
          <w:lang w:eastAsia="ru-RU"/>
        </w:rPr>
      </w:pP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Ежегодно администрацией поселения принимается к исполнению План комплексного благоустройства территорий населённых пунктов района на основании  Закона Ивановской области от 18.07.2006 N 75-ОЗ "Об обеспечении чистоты и порядка на территории Ивановской области". В утвержденных Советом местного самоуправления поселения  Положениях по благоустройству и санитарной очистке  территорий предусмотрено  проведение ряда мероприятий. Систематически, весной и осенью, проводятся месячники по благоустройству населенных пунктов поселения.</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Ежегодно в поселении проводится  конкурс на определение «Лучшего подворья» в нескольких номинациях . Во всех  населенных пунктах поселения проводятся конкурсы: «Лучший двор»,  «Дворовый цветник» и другие. В 2010 – 2011 годах в  поселении оборудована 1 детская площадка, устроены клумбы и цветники. </w:t>
      </w:r>
    </w:p>
    <w:p>
      <w:pPr>
        <w:spacing w:after="0" w:line="240" w:lineRule="auto"/>
        <w:ind w:left="23" w:right="20" w:firstLine="28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Особое внимание уделяется работе по ремонту и реконструкции обелисков и памятников павшим в ВОВ воинам – землякам. В 2011 году в рамках реализации проекта» Добрые дела» по наказам жителей будет произведена замена памятника погибшим воинам в д.Корнилово, изготовлены таблицы с именами погибших  в годы войны на территории поселения на сумму 90,0 тыс.руб. за счет средств областного бюджета. На 2012 год планируется обустройство территории у обелиска в с.Колшево с установкой плиточного покрытия и малых архитектурных форм на сумму 130, 0 тыс.руб.</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Благоустройство территории Дмитриевского сельского поселения по сравнению с 2010 годом, несколько улучшилось .Советом и администрацией поселения утвержден План  на период 2011-2013 гг. в сфере благоустройства в соответствии с современными требованиями действующего законодательства, куда включены следующие задачи:</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сформировать схему уборки территории поселения, закрепить за предприятиями, учреждениями, организациями в соответствии с действующим законодательством, прилегающие к ним  территории, и строго осуществлять контроль за их санитарным состоянием;</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продолжить целенаправленную работу по обустройству мест массового отдыха, придомовых территорий, парков, фасадов жилых и общественных зданий, ограждений;</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систематически, согласно утвержденному плану, проводить работу по озеленению территории населенных пунктов: посадке саженцев деревьев и кустарников, разбивке клумб и цветников, устройству газонов. Одновременно с этим продолжить работу по ликвидации переросших и аварийных деревьев.</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2011 году за счет средств местного бюджета в поселении организована вывозка мусора в с.Колшево от населения на свалку , благоустроены территории парков в с.Колшево и у обелисков в с.Колшево, д.Корнилово, д.Федосцыно, произведена выпилка  10 старых деревьев, угрожающих жизни и здоровью населения, произведена отсыпка дорог внутри поселения в с.Колшево, д.Ивашево, д.Корнилово, д.Федосцыно общей протяженностью 5 км , произведена ликвидация 5-и стихийных свалок- 3-х в с.Колшево и 2-х в д.Корнилово - всего на общую сумму 433 тыс.руб.</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рамках имеющихся полномочий  комиссии по благоустройству при администрации Дмитриевского сельского поселения ужесточить работу по принудительному  побуждению граждан к исполнению своих обязанностей, в области благоустройства и санитарного состоянии, закрепленных за ними территорий;</w:t>
      </w:r>
    </w:p>
    <w:p>
      <w:pPr>
        <w:autoSpaceDE w:val="0"/>
        <w:autoSpaceDN w:val="0"/>
        <w:adjustRightInd w:val="0"/>
        <w:spacing w:after="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активизировать работу со старостами и общественными организациями поселения  и с помощью СМИ и Досок объявлений провести информационно-разъяснительную работу о необходимости  поддержания надлежащего санитарного состояния территории населенных пунктов.</w:t>
      </w:r>
    </w:p>
    <w:p>
      <w:pPr>
        <w:spacing w:after="0" w:line="240" w:lineRule="auto"/>
        <w:contextualSpacing/>
        <w:jc w:val="both"/>
        <w:rPr>
          <w:rFonts w:ascii="Times New Roman" w:hAnsi="Times New Roman" w:eastAsia="Times New Roman" w:cs="Times New Roman"/>
          <w:b/>
          <w:sz w:val="24"/>
          <w:lang w:eastAsia="ru-RU"/>
        </w:rPr>
      </w:pPr>
    </w:p>
    <w:p>
      <w:pPr>
        <w:keepNext/>
        <w:keepLines/>
        <w:spacing w:before="480" w:after="0"/>
        <w:outlineLvl w:val="0"/>
        <w:rPr>
          <w:rFonts w:ascii="Times New Roman" w:hAnsi="Times New Roman" w:eastAsia="Times New Roman" w:cs="Times New Roman"/>
          <w:b/>
          <w:bCs/>
          <w:sz w:val="24"/>
          <w:szCs w:val="28"/>
          <w:lang w:eastAsia="ru-RU"/>
        </w:rPr>
      </w:pPr>
      <w:bookmarkStart w:id="47" w:name="_Toc312173945"/>
      <w:bookmarkStart w:id="48" w:name="_Toc312171208"/>
      <w:r>
        <w:rPr>
          <w:rFonts w:ascii="Times New Roman" w:hAnsi="Times New Roman" w:eastAsia="Times New Roman" w:cs="Times New Roman"/>
          <w:b/>
          <w:bCs/>
          <w:sz w:val="24"/>
          <w:szCs w:val="28"/>
          <w:lang w:eastAsia="ru-RU"/>
        </w:rPr>
        <w:t>3.7. МЕРОПРИЯТИЯ ПО РАЗВИТИЮ ИНЖЕНЕРНОЙ ИНФРАСТРУКТУРЫ</w:t>
      </w:r>
      <w:bookmarkEnd w:id="47"/>
      <w:bookmarkEnd w:id="48"/>
      <w:r>
        <w:rPr>
          <w:rFonts w:ascii="Times New Roman" w:hAnsi="Times New Roman" w:eastAsia="Times New Roman" w:cs="Times New Roman"/>
          <w:b/>
          <w:bCs/>
          <w:sz w:val="24"/>
          <w:szCs w:val="28"/>
          <w:lang w:eastAsia="ru-RU"/>
        </w:rPr>
        <w:tab/>
      </w:r>
    </w:p>
    <w:p>
      <w:pPr>
        <w:keepNext/>
        <w:tabs>
          <w:tab w:val="left" w:pos="576"/>
        </w:tabs>
        <w:suppressAutoHyphens/>
        <w:spacing w:before="240" w:after="60" w:line="240" w:lineRule="auto"/>
        <w:ind w:firstLine="709"/>
        <w:jc w:val="both"/>
        <w:outlineLvl w:val="1"/>
        <w:rPr>
          <w:rFonts w:ascii="Times New Roman" w:hAnsi="Times New Roman" w:eastAsia="Times New Roman" w:cs="Times New Roman"/>
          <w:b/>
          <w:bCs/>
          <w:iCs/>
          <w:sz w:val="24"/>
          <w:szCs w:val="28"/>
          <w:lang w:eastAsia="ar-SA"/>
        </w:rPr>
      </w:pPr>
      <w:bookmarkStart w:id="49" w:name="_Toc312173946"/>
      <w:r>
        <w:rPr>
          <w:rFonts w:ascii="Times New Roman" w:hAnsi="Times New Roman" w:eastAsia="Times New Roman" w:cs="Times New Roman"/>
          <w:b/>
          <w:bCs/>
          <w:iCs/>
          <w:sz w:val="24"/>
          <w:szCs w:val="28"/>
          <w:lang w:eastAsia="ar-SA"/>
        </w:rPr>
        <w:t>3.7.1. ВОДОСНАБЖЕНИЕ</w:t>
      </w:r>
      <w:bookmarkEnd w:id="49"/>
      <w:r>
        <w:rPr>
          <w:rFonts w:ascii="Times New Roman" w:hAnsi="Times New Roman" w:eastAsia="Times New Roman" w:cs="Times New Roman"/>
          <w:b/>
          <w:bCs/>
          <w:iCs/>
          <w:sz w:val="24"/>
          <w:szCs w:val="28"/>
          <w:lang w:eastAsia="ar-SA"/>
        </w:rPr>
        <w:t xml:space="preserve"> И ВОДООТВЕДЕНИЕ</w:t>
      </w:r>
      <w:r>
        <w:rPr>
          <w:rFonts w:ascii="Times New Roman" w:hAnsi="Times New Roman" w:eastAsia="Times New Roman" w:cs="Times New Roman"/>
          <w:b/>
          <w:bCs/>
          <w:iCs/>
          <w:sz w:val="24"/>
          <w:szCs w:val="28"/>
          <w:lang w:eastAsia="ar-SA"/>
        </w:rPr>
        <w:tab/>
      </w:r>
    </w:p>
    <w:p>
      <w:pPr>
        <w:tabs>
          <w:tab w:val="left" w:pos="709"/>
        </w:tabs>
        <w:spacing w:line="240" w:lineRule="auto"/>
        <w:ind w:firstLine="709"/>
        <w:contextualSpacing/>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Проектные предложения</w:t>
      </w:r>
      <w:bookmarkStart w:id="50" w:name="_Toc312169712"/>
      <w:bookmarkStart w:id="51" w:name="_Toc312173986"/>
      <w:bookmarkStart w:id="52" w:name="_Toc312171248"/>
    </w:p>
    <w:bookmarkEnd w:id="50"/>
    <w:bookmarkEnd w:id="51"/>
    <w:bookmarkEnd w:id="52"/>
    <w:p>
      <w:pPr>
        <w:spacing w:after="0" w:line="240" w:lineRule="auto"/>
        <w:ind w:right="-81" w:firstLine="540"/>
        <w:jc w:val="both"/>
        <w:rPr>
          <w:rFonts w:ascii="Times New Roman" w:hAnsi="Times New Roman" w:eastAsia="Arial Unicode MS" w:cs="Times New Roman"/>
          <w:bCs/>
          <w:sz w:val="24"/>
          <w:szCs w:val="24"/>
          <w:lang w:eastAsia="ru-RU"/>
        </w:rPr>
      </w:pPr>
      <w:r>
        <w:rPr>
          <w:rFonts w:ascii="Times New Roman" w:hAnsi="Times New Roman" w:eastAsia="Arial Unicode MS" w:cs="Times New Roman"/>
          <w:bCs/>
          <w:sz w:val="24"/>
          <w:szCs w:val="24"/>
          <w:lang w:eastAsia="ru-RU"/>
        </w:rPr>
        <w:t>Сеть водоснабжения Дмитриевского сельского поселения состоит из 3-х водопроводных линий в с.Колшево, д.Корнилово, д.Федосцыно протяженностью  10 км и 20 колодцев шахтного типа. Подача воды осуществляется из 2-х скважин в д.Корнилово и д.Федосцыно и коптажа в с.Колшево. В с Колшево в 2009 году  была произведена замена водопроводной линии протяженностью 3 км на средства областного бюджета, однако требуется ее закольцовывание  в 2011-2012 г.г.со старой линией и водонапорной башней.</w:t>
      </w:r>
    </w:p>
    <w:p>
      <w:pPr>
        <w:spacing w:after="0" w:line="240" w:lineRule="auto"/>
        <w:ind w:right="-1"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Скважина в д.Корнилово из-за ее длительной эксплуатации и засорения не обеспечивают проектных объемов отбора воды, что вызывает дефицит резервов мощности и не обеспечивает требуемого развития системы  водоснабжения жителей.</w:t>
      </w:r>
    </w:p>
    <w:p>
      <w:pPr>
        <w:spacing w:after="0" w:line="240" w:lineRule="auto"/>
        <w:ind w:right="-1"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 Качество питьевой воды, подаваемой в водопроводные сети, не всегда соответствует санитарным нормам в связи с превыше</w:t>
      </w:r>
      <w:r>
        <w:rPr>
          <w:rFonts w:ascii="Times New Roman" w:hAnsi="Times New Roman" w:eastAsia="Arial Unicode MS" w:cs="Times New Roman"/>
          <w:sz w:val="24"/>
          <w:szCs w:val="24"/>
          <w:lang w:val="zh-CN" w:eastAsia="zh-CN"/>
        </w:rPr>
        <w:softHyphen/>
      </w:r>
      <w:r>
        <w:rPr>
          <w:rFonts w:ascii="Times New Roman" w:hAnsi="Times New Roman" w:eastAsia="Arial Unicode MS" w:cs="Times New Roman"/>
          <w:sz w:val="24"/>
          <w:szCs w:val="24"/>
          <w:lang w:val="zh-CN" w:eastAsia="zh-CN"/>
        </w:rPr>
        <w:t xml:space="preserve">нием  установленных нормативов по содержанию железа. </w:t>
      </w:r>
    </w:p>
    <w:p>
      <w:pPr>
        <w:tabs>
          <w:tab w:val="left" w:pos="1080"/>
        </w:tabs>
        <w:spacing w:after="0"/>
        <w:ind w:right="-1"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Основное специализированное предприятие района  - ООО «Родник» Заволжского  муниципального района работает не стабильно. Поэтому в целях эксплуатации и квалифицированного технического обслуживания объектов коммунального комплекса , в ближайшее время необходимо заключить договор аренды имущества с другой организацией.</w:t>
      </w:r>
    </w:p>
    <w:p>
      <w:pPr>
        <w:tabs>
          <w:tab w:val="left" w:pos="1080"/>
        </w:tabs>
        <w:spacing w:after="0"/>
        <w:ind w:right="-1" w:firstLine="851"/>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Обеспеченность населения водоснабжением:</w:t>
      </w:r>
    </w:p>
    <w:p>
      <w:pPr>
        <w:tabs>
          <w:tab w:val="left" w:pos="1080"/>
        </w:tabs>
        <w:spacing w:after="0"/>
        <w:ind w:right="170" w:firstLine="851"/>
        <w:jc w:val="both"/>
        <w:rPr>
          <w:rFonts w:ascii="Times New Roman" w:hAnsi="Times New Roman" w:eastAsia="Times New Roman" w:cs="Times New Roman"/>
          <w:sz w:val="24"/>
          <w:szCs w:val="24"/>
          <w:lang w:eastAsia="ru-RU"/>
        </w:rPr>
      </w:pPr>
    </w:p>
    <w:tbl>
      <w:tblPr>
        <w:tblStyle w:val="22"/>
        <w:tblW w:w="93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080"/>
        <w:gridCol w:w="1260"/>
        <w:gridCol w:w="720"/>
        <w:gridCol w:w="1260"/>
        <w:gridCol w:w="1260"/>
        <w:gridCol w:w="720"/>
        <w:gridCol w:w="1182"/>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trPr>
        <w:tc>
          <w:tcPr>
            <w:tcW w:w="3075" w:type="dxa"/>
            <w:gridSpan w:val="3"/>
            <w:shd w:val="clear" w:color="auto" w:fill="auto"/>
            <w:vAlign w:val="center"/>
          </w:tcPr>
          <w:p>
            <w:pPr>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Число населенных пунктов с источниками водоснабжения </w:t>
            </w:r>
            <w:r>
              <w:rPr>
                <w:rFonts w:ascii="Times New Roman" w:hAnsi="Times New Roman" w:eastAsia="Times New Roman" w:cs="Times New Roman"/>
                <w:sz w:val="24"/>
                <w:szCs w:val="24"/>
                <w:lang w:eastAsia="ru-RU"/>
              </w:rPr>
              <w:t>(единиц)</w:t>
            </w:r>
          </w:p>
        </w:tc>
        <w:tc>
          <w:tcPr>
            <w:tcW w:w="3240" w:type="dxa"/>
            <w:gridSpan w:val="3"/>
            <w:shd w:val="clear" w:color="auto" w:fill="auto"/>
            <w:vAlign w:val="center"/>
          </w:tcPr>
          <w:p>
            <w:pPr>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Количество населения, обеспеченного централизованным водоснабжением </w:t>
            </w:r>
            <w:r>
              <w:rPr>
                <w:rFonts w:ascii="Times New Roman" w:hAnsi="Times New Roman" w:eastAsia="Times New Roman" w:cs="Times New Roman"/>
                <w:sz w:val="24"/>
                <w:szCs w:val="24"/>
                <w:lang w:eastAsia="ru-RU"/>
              </w:rPr>
              <w:t>( чел.)</w:t>
            </w:r>
          </w:p>
        </w:tc>
        <w:tc>
          <w:tcPr>
            <w:tcW w:w="3060" w:type="dxa"/>
            <w:gridSpan w:val="3"/>
            <w:shd w:val="clear" w:color="auto" w:fill="auto"/>
            <w:vAlign w:val="center"/>
          </w:tcPr>
          <w:p>
            <w:pPr>
              <w:spacing w:after="0"/>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Доля сельского населения, обеспеченного централизованным водоснабжением </w:t>
            </w:r>
            <w:r>
              <w:rPr>
                <w:rFonts w:ascii="Times New Roman" w:hAnsi="Times New Roman" w:eastAsia="Times New Roman" w:cs="Times New Roman"/>
                <w:sz w:val="24"/>
                <w:szCs w:val="24"/>
                <w:lang w:eastAsia="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trPr>
        <w:tc>
          <w:tcPr>
            <w:tcW w:w="735" w:type="dxa"/>
            <w:vMerge w:val="restart"/>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2340" w:type="dxa"/>
            <w:gridSpan w:val="2"/>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них</w:t>
            </w:r>
          </w:p>
        </w:tc>
        <w:tc>
          <w:tcPr>
            <w:tcW w:w="720" w:type="dxa"/>
            <w:vMerge w:val="restart"/>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2520" w:type="dxa"/>
            <w:gridSpan w:val="2"/>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них</w:t>
            </w:r>
          </w:p>
        </w:tc>
        <w:tc>
          <w:tcPr>
            <w:tcW w:w="720" w:type="dxa"/>
            <w:vMerge w:val="restart"/>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c>
          <w:tcPr>
            <w:tcW w:w="2340" w:type="dxa"/>
            <w:gridSpan w:val="2"/>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них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trPr>
        <w:tc>
          <w:tcPr>
            <w:tcW w:w="735" w:type="dxa"/>
            <w:vMerge w:val="continue"/>
            <w:vAlign w:val="center"/>
          </w:tcPr>
          <w:p>
            <w:pPr>
              <w:spacing w:after="0"/>
              <w:jc w:val="center"/>
              <w:rPr>
                <w:rFonts w:ascii="Times New Roman" w:hAnsi="Times New Roman" w:eastAsia="Times New Roman" w:cs="Times New Roman"/>
                <w:sz w:val="24"/>
                <w:szCs w:val="24"/>
                <w:lang w:eastAsia="ru-RU"/>
              </w:rPr>
            </w:pPr>
          </w:p>
        </w:tc>
        <w:tc>
          <w:tcPr>
            <w:tcW w:w="1080"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централизованным водоснабжением</w:t>
            </w:r>
          </w:p>
        </w:tc>
        <w:tc>
          <w:tcPr>
            <w:tcW w:w="1260"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нецентрализованным водоснабжением</w:t>
            </w:r>
          </w:p>
        </w:tc>
        <w:tc>
          <w:tcPr>
            <w:tcW w:w="720" w:type="dxa"/>
            <w:vMerge w:val="continue"/>
            <w:vAlign w:val="center"/>
          </w:tcPr>
          <w:p>
            <w:pPr>
              <w:spacing w:after="0"/>
              <w:jc w:val="center"/>
              <w:rPr>
                <w:rFonts w:ascii="Times New Roman" w:hAnsi="Times New Roman" w:eastAsia="Times New Roman" w:cs="Times New Roman"/>
                <w:sz w:val="24"/>
                <w:szCs w:val="24"/>
                <w:lang w:eastAsia="ru-RU"/>
              </w:rPr>
            </w:pPr>
          </w:p>
        </w:tc>
        <w:tc>
          <w:tcPr>
            <w:tcW w:w="1260"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подземных водоисточников</w:t>
            </w:r>
          </w:p>
        </w:tc>
        <w:tc>
          <w:tcPr>
            <w:tcW w:w="1260"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поверхностных водоисточников</w:t>
            </w:r>
          </w:p>
        </w:tc>
        <w:tc>
          <w:tcPr>
            <w:tcW w:w="720" w:type="dxa"/>
            <w:vMerge w:val="continue"/>
            <w:vAlign w:val="center"/>
          </w:tcPr>
          <w:p>
            <w:pPr>
              <w:spacing w:after="0"/>
              <w:jc w:val="center"/>
              <w:rPr>
                <w:rFonts w:ascii="Times New Roman" w:hAnsi="Times New Roman" w:eastAsia="Times New Roman" w:cs="Times New Roman"/>
                <w:sz w:val="24"/>
                <w:szCs w:val="24"/>
                <w:lang w:eastAsia="ru-RU"/>
              </w:rPr>
            </w:pPr>
          </w:p>
        </w:tc>
        <w:tc>
          <w:tcPr>
            <w:tcW w:w="1182"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подземных водоисточников</w:t>
            </w:r>
          </w:p>
        </w:tc>
        <w:tc>
          <w:tcPr>
            <w:tcW w:w="1158" w:type="dxa"/>
            <w:shd w:val="clear" w:color="auto" w:fill="auto"/>
            <w:vAlign w:val="center"/>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 поверхностных водоисточников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trPr>
        <w:tc>
          <w:tcPr>
            <w:tcW w:w="735"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08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26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72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26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c>
          <w:tcPr>
            <w:tcW w:w="126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c>
          <w:tcPr>
            <w:tcW w:w="720"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w:t>
            </w:r>
          </w:p>
        </w:tc>
        <w:tc>
          <w:tcPr>
            <w:tcW w:w="1182"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c>
          <w:tcPr>
            <w:tcW w:w="1158" w:type="dxa"/>
            <w:shd w:val="clear" w:color="auto" w:fill="auto"/>
            <w:vAlign w:val="bottom"/>
          </w:tcPr>
          <w:p>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735"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23.</w:t>
            </w:r>
          </w:p>
        </w:tc>
        <w:tc>
          <w:tcPr>
            <w:tcW w:w="1080" w:type="dxa"/>
            <w:shd w:val="clear" w:color="auto" w:fill="auto"/>
            <w:vAlign w:val="center"/>
          </w:tcPr>
          <w:p>
            <w:pPr>
              <w:spacing w:after="0"/>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3</w:t>
            </w:r>
          </w:p>
        </w:tc>
        <w:tc>
          <w:tcPr>
            <w:tcW w:w="1260"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20</w:t>
            </w:r>
          </w:p>
        </w:tc>
        <w:tc>
          <w:tcPr>
            <w:tcW w:w="720"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670</w:t>
            </w:r>
          </w:p>
        </w:tc>
        <w:tc>
          <w:tcPr>
            <w:tcW w:w="1260"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670</w:t>
            </w:r>
          </w:p>
        </w:tc>
        <w:tc>
          <w:tcPr>
            <w:tcW w:w="1260" w:type="dxa"/>
            <w:shd w:val="clear" w:color="auto" w:fill="auto"/>
            <w:vAlign w:val="center"/>
          </w:tcPr>
          <w:p>
            <w:pPr>
              <w:spacing w:after="0"/>
              <w:jc w:val="center"/>
              <w:rPr>
                <w:rFonts w:ascii="Times New Roman" w:hAnsi="Times New Roman" w:eastAsia="Times New Roman" w:cs="Times New Roman"/>
                <w:b/>
                <w:sz w:val="24"/>
                <w:szCs w:val="24"/>
                <w:lang w:eastAsia="ru-RU"/>
              </w:rPr>
            </w:pPr>
          </w:p>
        </w:tc>
        <w:tc>
          <w:tcPr>
            <w:tcW w:w="720"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75</w:t>
            </w:r>
          </w:p>
        </w:tc>
        <w:tc>
          <w:tcPr>
            <w:tcW w:w="1182" w:type="dxa"/>
            <w:shd w:val="clear" w:color="auto" w:fill="auto"/>
            <w:vAlign w:val="center"/>
          </w:tcPr>
          <w:p>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100</w:t>
            </w:r>
          </w:p>
        </w:tc>
        <w:tc>
          <w:tcPr>
            <w:tcW w:w="1158" w:type="dxa"/>
            <w:shd w:val="clear" w:color="auto" w:fill="auto"/>
            <w:vAlign w:val="center"/>
          </w:tcPr>
          <w:p>
            <w:pPr>
              <w:spacing w:after="0"/>
              <w:jc w:val="center"/>
              <w:rPr>
                <w:rFonts w:ascii="Times New Roman" w:hAnsi="Times New Roman" w:eastAsia="Times New Roman" w:cs="Times New Roman"/>
                <w:b/>
                <w:sz w:val="24"/>
                <w:szCs w:val="24"/>
                <w:lang w:eastAsia="ru-RU"/>
              </w:rPr>
            </w:pPr>
          </w:p>
        </w:tc>
      </w:tr>
    </w:tbl>
    <w:p>
      <w:pPr>
        <w:spacing w:after="0" w:line="240" w:lineRule="auto"/>
        <w:ind w:right="-1" w:firstLine="851"/>
        <w:jc w:val="both"/>
        <w:rPr>
          <w:rFonts w:ascii="Times New Roman" w:hAnsi="Times New Roman" w:eastAsia="Arial Unicode MS" w:cs="Times New Roman"/>
          <w:sz w:val="24"/>
          <w:szCs w:val="24"/>
          <w:lang w:val="zh-CN" w:eastAsia="zh-CN"/>
        </w:rPr>
      </w:pPr>
    </w:p>
    <w:p>
      <w:pPr>
        <w:spacing w:after="0" w:line="240" w:lineRule="auto"/>
        <w:ind w:right="-1"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 целью обеспечения водой населения в 2011 году в с.Кистега произведено строительство новой водяной скважины за счет средств местного бюджета на сумму 70,0 тыс.руб.</w:t>
      </w:r>
    </w:p>
    <w:p>
      <w:pPr>
        <w:spacing w:after="0" w:line="240" w:lineRule="auto"/>
        <w:ind w:right="-1"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eastAsia="zh-CN"/>
        </w:rPr>
        <w:t>З</w:t>
      </w:r>
      <w:r>
        <w:rPr>
          <w:rFonts w:ascii="Times New Roman" w:hAnsi="Times New Roman" w:eastAsia="Arial Unicode MS" w:cs="Times New Roman"/>
          <w:sz w:val="24"/>
          <w:szCs w:val="24"/>
          <w:lang w:val="zh-CN" w:eastAsia="zh-CN"/>
        </w:rPr>
        <w:t>а счет средств местного бюджета запланировано строительство 1 колодца в д.Корнилово и ремонт колодцев в д.Лыково и д.Вострово в 2013 году. Объем финансирования составляет 158 тысяч рублей.</w:t>
      </w:r>
    </w:p>
    <w:p>
      <w:pPr>
        <w:spacing w:after="0" w:line="240" w:lineRule="auto"/>
        <w:ind w:right="-1" w:firstLine="851"/>
        <w:jc w:val="both"/>
        <w:rPr>
          <w:rFonts w:ascii="Times New Roman" w:hAnsi="Times New Roman" w:eastAsia="Arial Unicode MS" w:cs="Times New Roman"/>
          <w:bCs/>
          <w:sz w:val="24"/>
          <w:szCs w:val="24"/>
          <w:lang w:val="zh-CN" w:eastAsia="zh-CN"/>
        </w:rPr>
      </w:pPr>
      <w:r>
        <w:rPr>
          <w:rFonts w:ascii="Times New Roman" w:hAnsi="Times New Roman" w:eastAsia="Arial Unicode MS" w:cs="Times New Roman"/>
          <w:sz w:val="24"/>
          <w:szCs w:val="24"/>
          <w:lang w:val="zh-CN" w:eastAsia="zh-CN"/>
        </w:rPr>
        <w:t>Наиболее проблемной в части обеспечения водой является скважина в д.Корнилово. Администрацией сельского поселения производится согласование акта выбора земельного участка для строительства коптажа или скважины в д.Корнилово с целью разработки ПСД . Для реализации данного проекта администраций поселения разработана подпрограмма</w:t>
      </w:r>
      <w:r>
        <w:rPr>
          <w:rFonts w:ascii="Times New Roman" w:hAnsi="Times New Roman" w:eastAsia="Arial Unicode MS" w:cs="Times New Roman"/>
          <w:b/>
          <w:bCs/>
          <w:sz w:val="24"/>
          <w:szCs w:val="24"/>
          <w:lang w:val="zh-CN" w:eastAsia="zh-CN"/>
        </w:rPr>
        <w:t xml:space="preserve"> «</w:t>
      </w:r>
      <w:r>
        <w:rPr>
          <w:rFonts w:ascii="Times New Roman" w:hAnsi="Times New Roman" w:eastAsia="Arial Unicode MS" w:cs="Times New Roman"/>
          <w:bCs/>
          <w:sz w:val="24"/>
          <w:szCs w:val="24"/>
          <w:lang w:val="zh-CN" w:eastAsia="zh-CN"/>
        </w:rPr>
        <w:t xml:space="preserve">Модернизация объектов коммунальной инфраструктуры Дмитриевского сельского поселения Заволжского муниципального района» долгосрочной целевой программы Ивановской области «Жилище» на 2011 </w:t>
      </w:r>
      <w:r>
        <w:rPr>
          <w:rFonts w:ascii="Times New Roman" w:hAnsi="Times New Roman" w:eastAsia="Arial Unicode MS" w:cs="Times New Roman"/>
          <w:sz w:val="24"/>
          <w:szCs w:val="24"/>
          <w:lang w:val="zh-CN" w:eastAsia="zh-CN"/>
        </w:rPr>
        <w:t>-</w:t>
      </w:r>
      <w:r>
        <w:rPr>
          <w:rFonts w:ascii="Times New Roman" w:hAnsi="Times New Roman" w:eastAsia="Arial Unicode MS" w:cs="Times New Roman"/>
          <w:bCs/>
          <w:sz w:val="24"/>
          <w:szCs w:val="24"/>
          <w:lang w:val="zh-CN" w:eastAsia="zh-CN"/>
        </w:rPr>
        <w:t xml:space="preserve"> 2015 годы, утвержденная Постановлением  от 17.05.2011 года № 45. В поселении на 2012 год предусмотрено выделение денежных средств в сумме 200 тыс. руб. на изготовление ПСД из местного бюджета и 3,4 млн. привлеченных средств.</w:t>
      </w:r>
    </w:p>
    <w:p>
      <w:pPr>
        <w:spacing w:after="0" w:line="240" w:lineRule="auto"/>
        <w:ind w:right="-1" w:firstLine="851"/>
        <w:jc w:val="both"/>
        <w:rPr>
          <w:rFonts w:ascii="Times New Roman" w:hAnsi="Times New Roman" w:eastAsia="Arial Unicode MS" w:cs="Times New Roman"/>
          <w:sz w:val="24"/>
          <w:szCs w:val="24"/>
          <w:lang w:eastAsia="zh-CN"/>
        </w:rPr>
      </w:pPr>
      <w:r>
        <w:rPr>
          <w:rFonts w:ascii="Times New Roman" w:hAnsi="Times New Roman" w:eastAsia="Arial Unicode MS" w:cs="Times New Roman"/>
          <w:sz w:val="24"/>
          <w:szCs w:val="24"/>
          <w:lang w:val="zh-CN" w:eastAsia="zh-CN"/>
        </w:rPr>
        <w:t>Система</w:t>
      </w:r>
      <w:r>
        <w:rPr>
          <w:rFonts w:ascii="Times New Roman" w:hAnsi="Times New Roman" w:eastAsia="Arial Unicode MS" w:cs="Times New Roman"/>
          <w:b/>
          <w:bCs/>
          <w:sz w:val="24"/>
          <w:szCs w:val="24"/>
          <w:lang w:eastAsia="ru-RU"/>
        </w:rPr>
        <w:t xml:space="preserve"> </w:t>
      </w:r>
      <w:r>
        <w:rPr>
          <w:rFonts w:ascii="Times New Roman" w:hAnsi="Times New Roman" w:eastAsia="Arial Unicode MS" w:cs="Times New Roman"/>
          <w:bCs/>
          <w:sz w:val="24"/>
          <w:szCs w:val="24"/>
          <w:lang w:eastAsia="ru-RU"/>
        </w:rPr>
        <w:t>коммунальной канализации</w:t>
      </w:r>
      <w:r>
        <w:rPr>
          <w:rFonts w:ascii="Times New Roman" w:hAnsi="Times New Roman" w:eastAsia="Arial Unicode MS" w:cs="Times New Roman"/>
          <w:sz w:val="24"/>
          <w:szCs w:val="24"/>
          <w:lang w:val="zh-CN" w:eastAsia="zh-CN"/>
        </w:rPr>
        <w:t xml:space="preserve"> в поселении отсутствует, существуют индивидуальные выгребные ямы.</w:t>
      </w:r>
    </w:p>
    <w:p>
      <w:pPr>
        <w:spacing w:after="0" w:line="240" w:lineRule="auto"/>
        <w:ind w:right="-1" w:firstLine="851"/>
        <w:jc w:val="both"/>
        <w:rPr>
          <w:rFonts w:ascii="Times New Roman" w:hAnsi="Times New Roman" w:eastAsia="Arial Unicode MS" w:cs="Times New Roman"/>
          <w:sz w:val="24"/>
          <w:szCs w:val="24"/>
          <w:lang w:eastAsia="zh-CN"/>
        </w:rPr>
      </w:pPr>
    </w:p>
    <w:p>
      <w:pPr>
        <w:spacing w:after="0" w:line="240" w:lineRule="auto"/>
        <w:ind w:right="-1" w:firstLine="851"/>
        <w:jc w:val="both"/>
        <w:rPr>
          <w:rFonts w:ascii="Times New Roman" w:hAnsi="Times New Roman" w:eastAsia="Arial Unicode MS" w:cs="Times New Roman"/>
          <w:b/>
          <w:sz w:val="24"/>
          <w:szCs w:val="24"/>
          <w:lang w:eastAsia="zh-CN"/>
        </w:rPr>
      </w:pPr>
      <w:r>
        <w:rPr>
          <w:rFonts w:ascii="Times New Roman" w:hAnsi="Times New Roman" w:eastAsia="Arial Unicode MS" w:cs="Times New Roman"/>
          <w:b/>
          <w:sz w:val="24"/>
          <w:szCs w:val="24"/>
          <w:lang w:eastAsia="zh-CN"/>
        </w:rPr>
        <w:t>Вывод:</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53" w:name="bookmark65"/>
      <w:r>
        <w:rPr>
          <w:rFonts w:ascii="Times New Roman" w:hAnsi="Times New Roman" w:eastAsia="Arial Unicode MS" w:cs="Times New Roman"/>
          <w:bCs/>
          <w:sz w:val="24"/>
          <w:szCs w:val="24"/>
          <w:lang w:val="zh-CN" w:eastAsia="zh-CN"/>
        </w:rPr>
        <w:t>Проблемы:</w:t>
      </w:r>
      <w:bookmarkEnd w:id="53"/>
    </w:p>
    <w:p>
      <w:pPr>
        <w:tabs>
          <w:tab w:val="left" w:pos="0"/>
          <w:tab w:val="left" w:pos="394"/>
        </w:tabs>
        <w:spacing w:after="0" w:line="240" w:lineRule="auto"/>
        <w:ind w:right="4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высокий процент износа водопроводных сетей, насосного оборудования водозаборных сооружений и насосных станций;</w:t>
      </w:r>
    </w:p>
    <w:p>
      <w:pPr>
        <w:tabs>
          <w:tab w:val="left" w:pos="0"/>
          <w:tab w:val="left" w:pos="394"/>
        </w:tabs>
        <w:spacing w:after="0" w:line="240" w:lineRule="auto"/>
        <w:ind w:right="4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нехватка источников водоснабжения в отдельных населенных пунктах;</w:t>
      </w:r>
    </w:p>
    <w:p>
      <w:pPr>
        <w:tabs>
          <w:tab w:val="left" w:pos="0"/>
          <w:tab w:val="left" w:pos="401"/>
        </w:tabs>
        <w:spacing w:after="0" w:line="240" w:lineRule="auto"/>
        <w:ind w:right="110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 нерациональное потребление населением питьевой воды. </w:t>
      </w:r>
    </w:p>
    <w:p>
      <w:pPr>
        <w:tabs>
          <w:tab w:val="left" w:pos="0"/>
        </w:tabs>
        <w:spacing w:after="0" w:line="240" w:lineRule="auto"/>
        <w:ind w:right="1100" w:firstLine="831"/>
        <w:jc w:val="both"/>
        <w:rPr>
          <w:rFonts w:ascii="Times New Roman" w:hAnsi="Times New Roman" w:eastAsia="Arial Unicode MS" w:cs="Times New Roman"/>
          <w:b/>
          <w:sz w:val="24"/>
          <w:szCs w:val="24"/>
          <w:lang w:val="zh-CN" w:eastAsia="zh-CN"/>
        </w:rPr>
      </w:pPr>
      <w:r>
        <w:rPr>
          <w:rFonts w:ascii="Times New Roman" w:hAnsi="Times New Roman" w:eastAsia="Arial Unicode MS" w:cs="Times New Roman"/>
          <w:bCs/>
          <w:sz w:val="24"/>
          <w:szCs w:val="24"/>
          <w:lang w:eastAsia="ru-RU"/>
        </w:rPr>
        <w:t>Задачи:</w:t>
      </w:r>
    </w:p>
    <w:p>
      <w:pPr>
        <w:numPr>
          <w:ilvl w:val="1"/>
          <w:numId w:val="33"/>
        </w:numPr>
        <w:tabs>
          <w:tab w:val="left" w:pos="0"/>
          <w:tab w:val="left" w:pos="458"/>
        </w:tabs>
        <w:spacing w:after="0" w:line="240" w:lineRule="auto"/>
        <w:ind w:left="1440" w:hanging="36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Замена изношенных и строительство новых водопроводных сетей. </w:t>
      </w:r>
    </w:p>
    <w:p>
      <w:pPr>
        <w:numPr>
          <w:ilvl w:val="1"/>
          <w:numId w:val="33"/>
        </w:numPr>
        <w:tabs>
          <w:tab w:val="left" w:pos="0"/>
          <w:tab w:val="left" w:pos="461"/>
        </w:tabs>
        <w:spacing w:after="0" w:line="240" w:lineRule="auto"/>
        <w:ind w:left="1440" w:right="40" w:hanging="36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Создание системы автоматического контроля технологических параметров режима работы сетей и сооружений водоснабжения.</w:t>
      </w:r>
    </w:p>
    <w:p>
      <w:pPr>
        <w:numPr>
          <w:ilvl w:val="1"/>
          <w:numId w:val="33"/>
        </w:numPr>
        <w:tabs>
          <w:tab w:val="left" w:pos="0"/>
          <w:tab w:val="left" w:pos="461"/>
        </w:tabs>
        <w:spacing w:after="0" w:line="240" w:lineRule="auto"/>
        <w:ind w:left="1440" w:right="40" w:hanging="36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Строительство шахтных колодцев в населенных пунктах поселения. </w:t>
      </w:r>
    </w:p>
    <w:p>
      <w:pPr>
        <w:numPr>
          <w:ilvl w:val="1"/>
          <w:numId w:val="33"/>
        </w:numPr>
        <w:tabs>
          <w:tab w:val="left" w:pos="0"/>
          <w:tab w:val="left" w:pos="1440"/>
        </w:tabs>
        <w:spacing w:after="0" w:line="240" w:lineRule="auto"/>
        <w:ind w:left="1440" w:right="42" w:hanging="36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Разработка проекта  водоснабжения в д.Корнилово .</w:t>
      </w:r>
    </w:p>
    <w:p>
      <w:pPr>
        <w:tabs>
          <w:tab w:val="left" w:pos="0"/>
          <w:tab w:val="left" w:pos="1440"/>
        </w:tabs>
        <w:spacing w:after="0" w:line="240" w:lineRule="auto"/>
        <w:ind w:right="42"/>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w:t>
      </w:r>
    </w:p>
    <w:p>
      <w:pPr>
        <w:tabs>
          <w:tab w:val="left" w:pos="0"/>
          <w:tab w:val="left" w:pos="7380"/>
          <w:tab w:val="left" w:pos="9355"/>
        </w:tabs>
        <w:spacing w:after="0" w:line="240" w:lineRule="auto"/>
        <w:ind w:right="-5"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Выполнение текущего ремонта в сети водоснабжения.</w:t>
      </w:r>
    </w:p>
    <w:p>
      <w:pPr>
        <w:tabs>
          <w:tab w:val="left" w:pos="0"/>
          <w:tab w:val="left" w:pos="7380"/>
          <w:tab w:val="left" w:pos="9355"/>
        </w:tabs>
        <w:spacing w:after="0" w:line="240" w:lineRule="auto"/>
        <w:ind w:right="-5"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Строительство и ремонт колодцев.</w:t>
      </w:r>
    </w:p>
    <w:p>
      <w:pPr>
        <w:tabs>
          <w:tab w:val="left" w:pos="0"/>
          <w:tab w:val="left" w:pos="7380"/>
          <w:tab w:val="left" w:pos="9355"/>
        </w:tabs>
        <w:spacing w:after="0" w:line="240" w:lineRule="auto"/>
        <w:ind w:right="-5"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Строительство новой линии водоснабжения и скважины в д.Корнилово.</w:t>
      </w:r>
    </w:p>
    <w:p>
      <w:pPr>
        <w:spacing w:after="0" w:line="240" w:lineRule="auto"/>
        <w:ind w:right="-1"/>
        <w:jc w:val="both"/>
        <w:rPr>
          <w:rFonts w:ascii="Times New Roman" w:hAnsi="Times New Roman" w:eastAsia="Arial Unicode MS" w:cs="Times New Roman"/>
          <w:bCs/>
          <w:sz w:val="24"/>
          <w:szCs w:val="24"/>
          <w:lang w:val="zh-CN" w:eastAsia="zh-CN"/>
        </w:rPr>
      </w:pPr>
    </w:p>
    <w:p>
      <w:pPr>
        <w:keepNext/>
        <w:tabs>
          <w:tab w:val="left" w:pos="576"/>
        </w:tabs>
        <w:suppressAutoHyphens/>
        <w:spacing w:after="60" w:line="240" w:lineRule="auto"/>
        <w:ind w:firstLine="709"/>
        <w:jc w:val="both"/>
        <w:outlineLvl w:val="1"/>
        <w:rPr>
          <w:rFonts w:ascii="Times New Roman" w:hAnsi="Times New Roman" w:eastAsia="Times New Roman" w:cs="Times New Roman"/>
          <w:b/>
          <w:bCs/>
          <w:iCs/>
          <w:sz w:val="24"/>
          <w:szCs w:val="24"/>
          <w:lang w:eastAsia="ar-SA"/>
        </w:rPr>
      </w:pPr>
    </w:p>
    <w:p>
      <w:pPr>
        <w:keepNext/>
        <w:tabs>
          <w:tab w:val="left" w:pos="576"/>
        </w:tabs>
        <w:suppressAutoHyphens/>
        <w:spacing w:after="60" w:line="240" w:lineRule="auto"/>
        <w:ind w:firstLine="709"/>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3.7.2. ЭЛЕКТРОСНАБЖЕНИЕ</w:t>
      </w:r>
      <w:r>
        <w:rPr>
          <w:rFonts w:ascii="Times New Roman" w:hAnsi="Times New Roman" w:eastAsia="Times New Roman" w:cs="Times New Roman"/>
          <w:b/>
          <w:bCs/>
          <w:iCs/>
          <w:sz w:val="24"/>
          <w:szCs w:val="24"/>
          <w:lang w:eastAsia="ar-SA"/>
        </w:rPr>
        <w:tab/>
      </w:r>
    </w:p>
    <w:p>
      <w:pPr>
        <w:spacing w:line="36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after="0" w:line="240" w:lineRule="auto"/>
        <w:ind w:right="-81" w:firstLine="72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xml:space="preserve">Поставщиком электроэнергии населению и предприятиям Дмитриевского сельского поселения являются электрические сети Заволжского филиала «Ивэнерго ОАО МРСК Центра и Поволжья» . </w:t>
      </w:r>
    </w:p>
    <w:p>
      <w:pPr>
        <w:spacing w:after="0" w:line="240" w:lineRule="auto"/>
        <w:ind w:right="-81" w:firstLine="72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В 2008 года на баланс администрации была передана линия электропередач в с.Кистега протяженностью 3 км с износом 100%, год ввода в эксплуатацию 1961. Для предоставления средств областного бюджета в 2011 году в рамках Подпрограммы « Модернизация объектов коммунальной инфраструктуры» долгосрочной целевой программы Ивановской области « Жилище» на 2011- 2015 годы» в поселении разработана своя Подпрогрмма,  по которой  выделены средства из местного бюджета в 2011 году в сумме 249 тыс.руб. на изготовление и государственную экспертизу ПСД  и предусматривается выделение 2,5 млн .руб. из областного бюджета. В настоящее время завершается государственная экспертиза данного проекта.</w:t>
      </w:r>
    </w:p>
    <w:p>
      <w:pPr>
        <w:spacing w:after="0" w:line="240" w:lineRule="auto"/>
        <w:ind w:right="-81" w:firstLine="720"/>
        <w:jc w:val="both"/>
        <w:rPr>
          <w:rFonts w:ascii="Times New Roman" w:hAnsi="Times New Roman" w:eastAsia="Arial Unicode MS" w:cs="Times New Roman"/>
          <w:sz w:val="24"/>
          <w:szCs w:val="24"/>
          <w:lang w:val="zh-CN" w:eastAsia="zh-CN"/>
        </w:rPr>
      </w:pPr>
    </w:p>
    <w:p>
      <w:pPr>
        <w:spacing w:after="0" w:line="36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В администрации Дмитриевского сельского поселения разработана программа «Энергосбережение и повышение энергетической эффективности на 2011-2012 годы». Финансирование программ осуществляется за счёт следующих источников:</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Средства федерального и местного бюджетов.</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Внебюджетные средства, в том числе:</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-собственные средства (прибыль, амортизация) предприятий и организаций, участвующих в программе;</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-внебюджетные источники в рамках ведомственных целевых программ;</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-средства, включённые в тарифы;</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-средства, полученные в результате реализации энергосберегающих проектов (рефинансирование до 30% от общей суммы экономии);</w:t>
      </w:r>
    </w:p>
    <w:p>
      <w:pPr>
        <w:spacing w:after="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Общий объем финансирования программных мероприятий:</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ЭТАП Программы - 231,5 тыс. руб.</w:t>
      </w:r>
    </w:p>
    <w:p>
      <w:pPr>
        <w:spacing w:after="0"/>
        <w:ind w:firstLine="72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ЭТАП Программы - объем финансирования определяется дополнительно.</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Основными целями 1 этапа программы является создание условий для перевода  бюджетной сферы поселения на энергосберегающий путь развития, активное вовлечение всех групп потребителей в энергоресурсосбережение и создание благоприятных условий для превращения энергосбережения в привлекательную сферу для бизнеса, а так же снижение расхода топливно-энергетических ресурсов на 10%.</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рамках реализации мероприятий 1 этапа в поселении выполнено:</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установка приборов учёта холодной воды и электроэнергии на всех объектах социальной сферы  поселения;</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установка коммерческих узлов учёта тепловой энергии на границе балансовой принадлежности теплогенерирующих объектов и ресурсоснабжающих организаций;</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-установка коллективных (общедомовых) приборов учёта коммунальных ресурсов в общем объеме потребления услуг многоквартирными домами:</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-электроэнергия – 100 %.</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планируется установка прибора учета холодной воды в администрации поселения в с.Колшево- 1,5 тыс.руб.;</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планируется проведение энергообследования в 2011 году 3 зданий на сумму 100 тыс.руб., находящихся на балансе администрации( 10.0 тыс.руб.средства местного бюджета,90 тыс.руб.- средства областного бюджета); в 2012 году- 4 зданий на сумму 130 тыс.руб.( 13 тыс.руб.- средства местного и 117 тыс.руб. из областного бюджетов).</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 2011-2012 г.г. планируется приобретение и установка энергосберегающих ламп на сумму 28 тыс .руб. за счет средств местного бюджета.</w:t>
      </w:r>
    </w:p>
    <w:p>
      <w:pPr>
        <w:spacing w:after="0" w:line="360" w:lineRule="auto"/>
        <w:ind w:firstLine="709"/>
        <w:rPr>
          <w:rFonts w:ascii="Times New Roman" w:hAnsi="Times New Roman" w:eastAsia="Times New Roman" w:cs="Times New Roman"/>
          <w:b/>
          <w:sz w:val="24"/>
          <w:szCs w:val="24"/>
          <w:lang w:eastAsia="ru-RU"/>
        </w:rPr>
      </w:pPr>
    </w:p>
    <w:p>
      <w:pPr>
        <w:spacing w:after="0" w:line="36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Вывод:</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54" w:name="bookmark70"/>
      <w:r>
        <w:rPr>
          <w:rFonts w:ascii="Times New Roman" w:hAnsi="Times New Roman" w:eastAsia="Arial Unicode MS" w:cs="Times New Roman"/>
          <w:bCs/>
          <w:sz w:val="24"/>
          <w:szCs w:val="24"/>
          <w:lang w:val="zh-CN" w:eastAsia="zh-CN"/>
        </w:rPr>
        <w:t>Проблемы:</w:t>
      </w:r>
      <w:bookmarkEnd w:id="54"/>
    </w:p>
    <w:p>
      <w:pPr>
        <w:tabs>
          <w:tab w:val="left" w:pos="0"/>
          <w:tab w:val="left" w:pos="401"/>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нерациональное использование энергоресурсов.</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55" w:name="bookmark71"/>
      <w:r>
        <w:rPr>
          <w:rFonts w:ascii="Times New Roman" w:hAnsi="Times New Roman" w:eastAsia="Arial Unicode MS" w:cs="Times New Roman"/>
          <w:bCs/>
          <w:sz w:val="24"/>
          <w:szCs w:val="24"/>
          <w:lang w:val="zh-CN" w:eastAsia="zh-CN"/>
        </w:rPr>
        <w:t>Задачи:</w:t>
      </w:r>
      <w:bookmarkEnd w:id="55"/>
    </w:p>
    <w:p>
      <w:pPr>
        <w:tabs>
          <w:tab w:val="left" w:pos="0"/>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1. Реконструкция сетей и трансформаторной подстанции.</w:t>
      </w:r>
    </w:p>
    <w:p>
      <w:pPr>
        <w:tabs>
          <w:tab w:val="left" w:pos="0"/>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2. Реализация программ энергосбережения.</w:t>
      </w: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w:t>
      </w:r>
    </w:p>
    <w:p>
      <w:pPr>
        <w:tabs>
          <w:tab w:val="left" w:pos="0"/>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Реализация мероприятий в соответствии с программой энергосбережения.</w:t>
      </w:r>
    </w:p>
    <w:p>
      <w:pPr>
        <w:spacing w:line="360" w:lineRule="auto"/>
        <w:ind w:firstLine="709"/>
        <w:rPr>
          <w:rFonts w:ascii="Times New Roman" w:hAnsi="Times New Roman" w:eastAsia="Times New Roman" w:cs="Times New Roman"/>
          <w:b/>
          <w:sz w:val="24"/>
          <w:szCs w:val="24"/>
          <w:lang w:val="zh-CN" w:eastAsia="ru-RU"/>
        </w:rPr>
      </w:pPr>
    </w:p>
    <w:p>
      <w:pPr>
        <w:keepNext/>
        <w:tabs>
          <w:tab w:val="left" w:pos="576"/>
        </w:tabs>
        <w:suppressAutoHyphens/>
        <w:spacing w:before="240" w:after="60" w:line="240" w:lineRule="auto"/>
        <w:ind w:firstLine="709"/>
        <w:contextualSpacing/>
        <w:jc w:val="both"/>
        <w:outlineLvl w:val="1"/>
        <w:rPr>
          <w:rFonts w:ascii="Times New Roman" w:hAnsi="Times New Roman" w:eastAsia="Times New Roman" w:cs="Times New Roman"/>
          <w:b/>
          <w:bCs/>
          <w:iCs/>
          <w:sz w:val="24"/>
          <w:szCs w:val="24"/>
          <w:lang w:eastAsia="ar-SA"/>
        </w:rPr>
      </w:pPr>
      <w:bookmarkStart w:id="56" w:name="_Toc312174034"/>
      <w:r>
        <w:rPr>
          <w:rFonts w:ascii="Times New Roman" w:hAnsi="Times New Roman" w:eastAsia="Times New Roman" w:cs="Times New Roman"/>
          <w:b/>
          <w:bCs/>
          <w:iCs/>
          <w:sz w:val="24"/>
          <w:szCs w:val="24"/>
          <w:lang w:eastAsia="ar-SA"/>
        </w:rPr>
        <w:t>3.7.3. ГАЗОСНАБЖЕНИЕ</w:t>
      </w:r>
      <w:bookmarkEnd w:id="56"/>
    </w:p>
    <w:p>
      <w:pPr>
        <w:spacing w:line="240" w:lineRule="auto"/>
        <w:ind w:firstLine="709"/>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line="240" w:lineRule="auto"/>
        <w:ind w:firstLine="709"/>
        <w:contextualSpacing/>
        <w:rPr>
          <w:rFonts w:ascii="Times New Roman" w:hAnsi="Times New Roman" w:eastAsia="Times New Roman" w:cs="Times New Roman"/>
          <w:b/>
          <w:sz w:val="24"/>
          <w:szCs w:val="24"/>
          <w:lang w:eastAsia="ru-RU"/>
        </w:rPr>
      </w:pPr>
    </w:p>
    <w:p>
      <w:pPr>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Газификация Дмитриевского сельского поселения на данный момент полностью отсутствует.</w:t>
      </w:r>
    </w:p>
    <w:p>
      <w:pPr>
        <w:spacing w:after="0"/>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Газоснабжение возможно в 2-х направлениях: 1-от ГНС г. Наволоки; 2- ГНС г.Костромы 2-ой вариант для поселения наиболее реален, т.к. в настоящее время газ находится на расстоянии не более 10 км от с. Колшево по направлению к г.Костроме.</w:t>
      </w:r>
    </w:p>
    <w:p>
      <w:pPr>
        <w:spacing w:after="0"/>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xml:space="preserve">Для реализации данной проблемы администрацией поселения запланирована разработка проекта газоснабжения в 2012 году. </w:t>
      </w:r>
    </w:p>
    <w:p>
      <w:pPr>
        <w:keepNext/>
        <w:tabs>
          <w:tab w:val="left" w:pos="576"/>
        </w:tabs>
        <w:suppressAutoHyphens/>
        <w:spacing w:before="240" w:after="60" w:line="240" w:lineRule="auto"/>
        <w:ind w:firstLine="709"/>
        <w:jc w:val="both"/>
        <w:outlineLvl w:val="1"/>
        <w:rPr>
          <w:rFonts w:ascii="Times New Roman" w:hAnsi="Times New Roman" w:eastAsia="Times New Roman" w:cs="Times New Roman"/>
          <w:b/>
          <w:bCs/>
          <w:iCs/>
          <w:sz w:val="24"/>
          <w:szCs w:val="24"/>
          <w:lang w:eastAsia="ar-SA"/>
        </w:rPr>
      </w:pPr>
      <w:r>
        <w:rPr>
          <w:rFonts w:ascii="Times New Roman" w:hAnsi="Times New Roman" w:eastAsia="Times New Roman" w:cs="Times New Roman"/>
          <w:b/>
          <w:bCs/>
          <w:iCs/>
          <w:sz w:val="24"/>
          <w:szCs w:val="24"/>
          <w:lang w:eastAsia="ar-SA"/>
        </w:rPr>
        <w:t>3.7.4. ТЕПЛОСНАБЖЕНИЕ</w:t>
      </w:r>
    </w:p>
    <w:p>
      <w:pPr>
        <w:spacing w:line="360" w:lineRule="auto"/>
        <w:ind w:firstLine="709"/>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after="0" w:line="240" w:lineRule="auto"/>
        <w:ind w:right="-1" w:firstLine="851"/>
        <w:jc w:val="both"/>
        <w:rPr>
          <w:rFonts w:ascii="Times New Roman" w:hAnsi="Times New Roman" w:eastAsia="Arial Unicode MS" w:cs="Times New Roman"/>
          <w:sz w:val="24"/>
          <w:szCs w:val="24"/>
          <w:u w:val="single"/>
          <w:lang w:val="zh-CN" w:eastAsia="zh-CN"/>
        </w:rPr>
      </w:pPr>
      <w:bookmarkStart w:id="57" w:name="_Toc312174085"/>
      <w:r>
        <w:rPr>
          <w:rFonts w:ascii="Times New Roman" w:hAnsi="Times New Roman" w:eastAsia="Arial Unicode MS" w:cs="Times New Roman"/>
          <w:bCs/>
          <w:sz w:val="24"/>
          <w:szCs w:val="24"/>
          <w:lang w:eastAsia="ru-RU"/>
        </w:rPr>
        <w:t>Теплоснабжение</w:t>
      </w:r>
      <w:r>
        <w:rPr>
          <w:rFonts w:ascii="Times New Roman" w:hAnsi="Times New Roman" w:eastAsia="Arial Unicode MS" w:cs="Times New Roman"/>
          <w:sz w:val="24"/>
          <w:szCs w:val="24"/>
          <w:lang w:val="zh-CN" w:eastAsia="zh-CN"/>
        </w:rPr>
        <w:t xml:space="preserve"> поселения осуществляется от центральной котельной в с.Колшево, отапливаются учреждения социальной сферы. Жилой фонд не отапливается.</w:t>
      </w:r>
    </w:p>
    <w:p>
      <w:pPr>
        <w:spacing w:after="0" w:line="240" w:lineRule="auto"/>
        <w:ind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Инженерная инфраструктура  состоит из:</w:t>
      </w:r>
    </w:p>
    <w:p>
      <w:pPr>
        <w:numPr>
          <w:ilvl w:val="0"/>
          <w:numId w:val="34"/>
        </w:numPr>
        <w:tabs>
          <w:tab w:val="left" w:pos="399"/>
          <w:tab w:val="clear" w:pos="720"/>
        </w:tabs>
        <w:spacing w:after="0" w:line="240" w:lineRule="auto"/>
        <w:ind w:firstLine="85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rPr>
        <w:t xml:space="preserve">1 </w:t>
      </w:r>
      <w:r>
        <w:rPr>
          <w:rFonts w:ascii="Times New Roman" w:hAnsi="Times New Roman" w:eastAsia="Arial Unicode MS" w:cs="Times New Roman"/>
          <w:sz w:val="24"/>
          <w:szCs w:val="24"/>
          <w:lang w:val="zh-CN" w:eastAsia="zh-CN"/>
        </w:rPr>
        <w:t>котельной , которая установлена в центре от нагрузок с тепловыми сетями протяженностью 1230 м для нагрузки 0,072 Гкал/час в одну сторону и 1684 м для нагрузки 0,301 Гкал/час в другую сторону. Подземная сеть к ОВП, пищеблоку и ФАП длиной в 1229 м имеет 100% износ, требуется полная перекладка. Плановая выработка тепловой энергии в год составляет 1853,89 Гкал/год, из них плановые потери в сетях 48,27%, фактические потери- 55,49%.Необходимо установить 2 котельные по группам нагрузок и исключить потери в сетях.</w:t>
      </w:r>
    </w:p>
    <w:p>
      <w:pPr>
        <w:spacing w:after="0"/>
        <w:ind w:firstLine="72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 2012- 2013 году планируется строительство 2-х новых котельных  с теплосетями стоимостью 7 млн.руб. взамен старой, которая полностью выработала свой ресурс. Реализация данного мероприятия позволит повысить надежность и качество предоставления коммунальной услуги и снизить затраты на её производство. Необходимо также запланировать теплоснабжение муниципального жилого фонда с целью оптимизации схемы теплоснабжения и повышения привлекательности жилья.</w:t>
      </w:r>
    </w:p>
    <w:p>
      <w:pPr>
        <w:spacing w:after="0"/>
        <w:ind w:firstLine="720"/>
        <w:jc w:val="both"/>
        <w:rPr>
          <w:rFonts w:ascii="Times New Roman" w:hAnsi="Times New Roman" w:eastAsia="Times New Roman" w:cs="Times New Roman"/>
          <w:sz w:val="24"/>
          <w:szCs w:val="24"/>
          <w:lang w:eastAsia="ru-RU"/>
        </w:rPr>
      </w:pPr>
    </w:p>
    <w:p>
      <w:pPr>
        <w:spacing w:after="0" w:line="240" w:lineRule="auto"/>
        <w:ind w:right="-81" w:firstLine="720"/>
        <w:jc w:val="center"/>
        <w:rPr>
          <w:rFonts w:ascii="Times New Roman" w:hAnsi="Times New Roman" w:eastAsia="Arial Unicode MS" w:cs="Times New Roman"/>
          <w:sz w:val="24"/>
          <w:szCs w:val="24"/>
          <w:lang w:val="zh-CN" w:eastAsia="zh-CN"/>
        </w:rPr>
      </w:pPr>
      <w:bookmarkStart w:id="58" w:name="bookmark29"/>
      <w:r>
        <w:rPr>
          <w:rFonts w:ascii="Times New Roman" w:hAnsi="Times New Roman" w:eastAsia="Arial Unicode MS" w:cs="Times New Roman"/>
          <w:sz w:val="24"/>
          <w:szCs w:val="24"/>
          <w:lang w:val="zh-CN" w:eastAsia="zh-CN"/>
        </w:rPr>
        <w:t>Показатели развития жилищно-коммунального хозяйства</w:t>
      </w:r>
      <w:bookmarkEnd w:id="58"/>
    </w:p>
    <w:tbl>
      <w:tblPr>
        <w:tblStyle w:val="22"/>
        <w:tblW w:w="9772" w:type="dxa"/>
        <w:jc w:val="center"/>
        <w:tblInd w:w="-5043" w:type="dxa"/>
        <w:tblLayout w:type="fixed"/>
        <w:tblCellMar>
          <w:top w:w="0" w:type="dxa"/>
          <w:left w:w="0" w:type="dxa"/>
          <w:bottom w:w="0" w:type="dxa"/>
          <w:right w:w="0" w:type="dxa"/>
        </w:tblCellMar>
      </w:tblPr>
      <w:tblGrid>
        <w:gridCol w:w="5919"/>
        <w:gridCol w:w="1800"/>
        <w:gridCol w:w="2053"/>
      </w:tblGrid>
      <w:tr>
        <w:tblPrEx>
          <w:tblLayout w:type="fixed"/>
          <w:tblCellMar>
            <w:top w:w="0" w:type="dxa"/>
            <w:left w:w="0" w:type="dxa"/>
            <w:bottom w:w="0" w:type="dxa"/>
            <w:right w:w="0" w:type="dxa"/>
          </w:tblCellMar>
        </w:tblPrEx>
        <w:trPr>
          <w:trHeight w:val="158"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jc w:val="center"/>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Наименование показателей</w:t>
            </w:r>
          </w:p>
        </w:tc>
        <w:tc>
          <w:tcPr>
            <w:tcW w:w="1800"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jc w:val="center"/>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2010 г.</w:t>
            </w:r>
          </w:p>
        </w:tc>
        <w:tc>
          <w:tcPr>
            <w:tcW w:w="2053"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jc w:val="center"/>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2011 г.</w:t>
            </w:r>
          </w:p>
        </w:tc>
      </w:tr>
      <w:tr>
        <w:tblPrEx>
          <w:tblLayout w:type="fixed"/>
          <w:tblCellMar>
            <w:top w:w="0" w:type="dxa"/>
            <w:left w:w="0" w:type="dxa"/>
            <w:bottom w:w="0" w:type="dxa"/>
            <w:right w:w="0" w:type="dxa"/>
          </w:tblCellMar>
        </w:tblPrEx>
        <w:trPr>
          <w:trHeight w:val="298"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firstLine="19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Средневзвешенные тарифы на услуги теплоснабжения, оказываемые юридическим лицам (без НДС), руб./Гкал</w:t>
            </w: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2674,17</w:t>
            </w:r>
          </w:p>
        </w:tc>
        <w:tc>
          <w:tcPr>
            <w:tcW w:w="205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3018,85</w:t>
            </w:r>
          </w:p>
        </w:tc>
      </w:tr>
      <w:tr>
        <w:tblPrEx>
          <w:tblLayout w:type="fixed"/>
          <w:tblCellMar>
            <w:top w:w="0" w:type="dxa"/>
            <w:left w:w="0" w:type="dxa"/>
            <w:bottom w:w="0" w:type="dxa"/>
            <w:right w:w="0" w:type="dxa"/>
          </w:tblCellMar>
        </w:tblPrEx>
        <w:trPr>
          <w:trHeight w:val="298"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firstLine="19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Средневзвешенные тарифы на услуги водоснабжения, оказываемые населению (без НДС), руб./куб. м</w:t>
            </w: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41.91</w:t>
            </w:r>
          </w:p>
        </w:tc>
        <w:tc>
          <w:tcPr>
            <w:tcW w:w="205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39,30</w:t>
            </w:r>
          </w:p>
        </w:tc>
      </w:tr>
      <w:tr>
        <w:tblPrEx>
          <w:tblLayout w:type="fixed"/>
          <w:tblCellMar>
            <w:top w:w="0" w:type="dxa"/>
            <w:left w:w="0" w:type="dxa"/>
            <w:bottom w:w="0" w:type="dxa"/>
            <w:right w:w="0" w:type="dxa"/>
          </w:tblCellMar>
        </w:tblPrEx>
        <w:trPr>
          <w:trHeight w:val="298"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firstLine="194"/>
              <w:rPr>
                <w:rFonts w:ascii="Times New Roman" w:hAnsi="Times New Roman" w:eastAsia="Times New Roman" w:cs="Times New Roman"/>
                <w:sz w:val="24"/>
                <w:szCs w:val="24"/>
                <w:lang w:eastAsia="ru-RU"/>
              </w:rPr>
            </w:pP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p>
        </w:tc>
        <w:tc>
          <w:tcPr>
            <w:tcW w:w="205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p>
        </w:tc>
      </w:tr>
      <w:tr>
        <w:tblPrEx>
          <w:tblLayout w:type="fixed"/>
          <w:tblCellMar>
            <w:top w:w="0" w:type="dxa"/>
            <w:left w:w="0" w:type="dxa"/>
            <w:bottom w:w="0" w:type="dxa"/>
            <w:right w:w="0" w:type="dxa"/>
          </w:tblCellMar>
        </w:tblPrEx>
        <w:trPr>
          <w:trHeight w:val="144"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firstLine="19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Отпущено тепловой энергии всем потребителям за год, Гкал</w:t>
            </w: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1853,89</w:t>
            </w:r>
          </w:p>
        </w:tc>
        <w:tc>
          <w:tcPr>
            <w:tcW w:w="205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1853,89</w:t>
            </w:r>
          </w:p>
        </w:tc>
      </w:tr>
      <w:tr>
        <w:tblPrEx>
          <w:tblLayout w:type="fixed"/>
          <w:tblCellMar>
            <w:top w:w="0" w:type="dxa"/>
            <w:left w:w="0" w:type="dxa"/>
            <w:bottom w:w="0" w:type="dxa"/>
            <w:right w:w="0" w:type="dxa"/>
          </w:tblCellMar>
        </w:tblPrEx>
        <w:trPr>
          <w:trHeight w:val="149" w:hRule="atLeast"/>
          <w:jc w:val="center"/>
        </w:trPr>
        <w:tc>
          <w:tcPr>
            <w:tcW w:w="5919" w:type="dxa"/>
            <w:tcBorders>
              <w:top w:val="single" w:color="auto" w:sz="4" w:space="0"/>
              <w:left w:val="single" w:color="auto" w:sz="4" w:space="0"/>
              <w:bottom w:val="single" w:color="auto" w:sz="4" w:space="0"/>
              <w:right w:val="single" w:color="auto" w:sz="4" w:space="0"/>
            </w:tcBorders>
            <w:shd w:val="clear" w:color="auto" w:fill="FFFFFF"/>
          </w:tcPr>
          <w:p>
            <w:pPr>
              <w:spacing w:after="0" w:line="240" w:lineRule="auto"/>
              <w:ind w:right="-81" w:firstLine="194"/>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Отпущено воды всем потребителям за год, тыс. куб. м</w:t>
            </w:r>
          </w:p>
        </w:tc>
        <w:tc>
          <w:tcPr>
            <w:tcW w:w="1800"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14332</w:t>
            </w:r>
          </w:p>
        </w:tc>
        <w:tc>
          <w:tcPr>
            <w:tcW w:w="2053" w:type="dxa"/>
            <w:tcBorders>
              <w:top w:val="single" w:color="auto" w:sz="4" w:space="0"/>
              <w:left w:val="single" w:color="auto" w:sz="4" w:space="0"/>
              <w:bottom w:val="single" w:color="auto" w:sz="4" w:space="0"/>
              <w:right w:val="single" w:color="auto" w:sz="4" w:space="0"/>
            </w:tcBorders>
            <w:shd w:val="clear" w:color="auto" w:fill="FFFFFF"/>
            <w:vAlign w:val="center"/>
          </w:tcPr>
          <w:p>
            <w:pPr>
              <w:spacing w:after="0" w:line="240" w:lineRule="auto"/>
              <w:ind w:right="-81"/>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11046</w:t>
            </w:r>
          </w:p>
        </w:tc>
      </w:tr>
    </w:tbl>
    <w:p>
      <w:pPr>
        <w:rPr>
          <w:rFonts w:ascii="Calibri" w:hAnsi="Calibri" w:eastAsia="Times New Roman" w:cs="Times New Roman"/>
          <w:lang w:eastAsia="ar-SA"/>
        </w:rPr>
      </w:pPr>
    </w:p>
    <w:p>
      <w:pPr>
        <w:spacing w:after="0"/>
        <w:ind w:firstLine="426"/>
        <w:rPr>
          <w:rFonts w:ascii="Times New Roman" w:hAnsi="Times New Roman" w:eastAsia="Times New Roman" w:cs="Times New Roman"/>
          <w:b/>
          <w:sz w:val="24"/>
          <w:szCs w:val="24"/>
          <w:lang w:eastAsia="ar-SA"/>
        </w:rPr>
      </w:pPr>
      <w:r>
        <w:rPr>
          <w:rFonts w:ascii="Times New Roman" w:hAnsi="Times New Roman" w:eastAsia="Times New Roman" w:cs="Times New Roman"/>
          <w:b/>
          <w:sz w:val="24"/>
          <w:szCs w:val="24"/>
          <w:lang w:eastAsia="ar-SA"/>
        </w:rPr>
        <w:t>Вывод:</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59" w:name="bookmark67"/>
      <w:r>
        <w:rPr>
          <w:rFonts w:ascii="Times New Roman" w:hAnsi="Times New Roman" w:eastAsia="Arial Unicode MS" w:cs="Times New Roman"/>
          <w:bCs/>
          <w:sz w:val="24"/>
          <w:szCs w:val="24"/>
          <w:lang w:val="zh-CN" w:eastAsia="zh-CN"/>
        </w:rPr>
        <w:t>Проблемы:</w:t>
      </w:r>
      <w:bookmarkEnd w:id="59"/>
    </w:p>
    <w:p>
      <w:pPr>
        <w:tabs>
          <w:tab w:val="left" w:pos="0"/>
          <w:tab w:val="left" w:pos="394"/>
        </w:tabs>
        <w:spacing w:after="0" w:line="240" w:lineRule="auto"/>
        <w:ind w:righ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высокая степень физического и морального износа части объектов теплоснабжения</w:t>
      </w:r>
    </w:p>
    <w:p>
      <w:pPr>
        <w:tabs>
          <w:tab w:val="left" w:pos="0"/>
          <w:tab w:val="left" w:pos="396"/>
        </w:tabs>
        <w:spacing w:after="0" w:line="240" w:lineRule="auto"/>
        <w:ind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изношенность тепловых сетей;</w:t>
      </w:r>
    </w:p>
    <w:p>
      <w:pPr>
        <w:keepNext/>
        <w:keepLines/>
        <w:tabs>
          <w:tab w:val="left" w:pos="0"/>
        </w:tabs>
        <w:spacing w:after="0" w:line="240" w:lineRule="auto"/>
        <w:ind w:firstLine="831"/>
        <w:jc w:val="both"/>
        <w:rPr>
          <w:rFonts w:ascii="Times New Roman" w:hAnsi="Times New Roman" w:eastAsia="Arial Unicode MS" w:cs="Times New Roman"/>
          <w:bCs/>
          <w:sz w:val="24"/>
          <w:szCs w:val="24"/>
          <w:lang w:val="zh-CN" w:eastAsia="zh-CN"/>
        </w:rPr>
      </w:pPr>
      <w:bookmarkStart w:id="60" w:name="bookmark68"/>
      <w:r>
        <w:rPr>
          <w:rFonts w:ascii="Times New Roman" w:hAnsi="Times New Roman" w:eastAsia="Arial Unicode MS" w:cs="Times New Roman"/>
          <w:bCs/>
          <w:sz w:val="24"/>
          <w:szCs w:val="24"/>
          <w:lang w:val="zh-CN" w:eastAsia="zh-CN"/>
        </w:rPr>
        <w:t>Задачи:</w:t>
      </w:r>
      <w:bookmarkEnd w:id="60"/>
    </w:p>
    <w:p>
      <w:pPr>
        <w:numPr>
          <w:ilvl w:val="1"/>
          <w:numId w:val="35"/>
        </w:numPr>
        <w:tabs>
          <w:tab w:val="left" w:pos="0"/>
          <w:tab w:val="clear" w:pos="1440"/>
        </w:tabs>
        <w:spacing w:after="0" w:line="240" w:lineRule="auto"/>
        <w:ind w:left="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Строительство новых котельных</w:t>
      </w:r>
    </w:p>
    <w:p>
      <w:pPr>
        <w:numPr>
          <w:ilvl w:val="1"/>
          <w:numId w:val="35"/>
        </w:numPr>
        <w:tabs>
          <w:tab w:val="left" w:pos="0"/>
          <w:tab w:val="clear" w:pos="1440"/>
        </w:tabs>
        <w:spacing w:after="0" w:line="240" w:lineRule="auto"/>
        <w:ind w:left="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Проведение ресурсосберегающих мероприятий.</w:t>
      </w:r>
    </w:p>
    <w:p>
      <w:pPr>
        <w:numPr>
          <w:ilvl w:val="1"/>
          <w:numId w:val="35"/>
        </w:numPr>
        <w:tabs>
          <w:tab w:val="left" w:pos="0"/>
          <w:tab w:val="clear" w:pos="1440"/>
        </w:tabs>
        <w:spacing w:after="0" w:line="240" w:lineRule="auto"/>
        <w:ind w:left="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Ремонт и прокладка новых тепловых сетей.</w:t>
      </w:r>
    </w:p>
    <w:p>
      <w:pPr>
        <w:tabs>
          <w:tab w:val="left" w:pos="0"/>
        </w:tabs>
        <w:spacing w:after="0" w:line="240" w:lineRule="auto"/>
        <w:ind w:right="2420" w:firstLine="90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Мероприятия:</w:t>
      </w:r>
    </w:p>
    <w:p>
      <w:pPr>
        <w:tabs>
          <w:tab w:val="left" w:pos="0"/>
        </w:tabs>
        <w:spacing w:after="0" w:line="240" w:lineRule="auto"/>
        <w:ind w:firstLine="720"/>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Строительство двух модульных  котельных и теплосетей.</w:t>
      </w:r>
    </w:p>
    <w:p>
      <w:pPr>
        <w:rPr>
          <w:rFonts w:ascii="Times New Roman" w:hAnsi="Times New Roman" w:eastAsia="Times New Roman" w:cs="Times New Roman"/>
          <w:b/>
          <w:sz w:val="24"/>
          <w:szCs w:val="24"/>
          <w:lang w:val="zh-CN" w:eastAsia="ar-SA"/>
        </w:rPr>
      </w:pPr>
    </w:p>
    <w:p>
      <w:pPr>
        <w:keepNext/>
        <w:tabs>
          <w:tab w:val="left" w:pos="576"/>
        </w:tabs>
        <w:suppressAutoHyphens/>
        <w:spacing w:before="240" w:after="60" w:line="240" w:lineRule="auto"/>
        <w:ind w:firstLine="709"/>
        <w:jc w:val="both"/>
        <w:outlineLvl w:val="1"/>
        <w:rPr>
          <w:rFonts w:ascii="Times New Roman" w:hAnsi="Times New Roman" w:eastAsia="Times New Roman" w:cs="Times New Roman"/>
          <w:b/>
          <w:bCs/>
          <w:iCs/>
          <w:sz w:val="24"/>
          <w:szCs w:val="28"/>
          <w:lang w:eastAsia="ar-SA"/>
        </w:rPr>
      </w:pPr>
      <w:r>
        <w:rPr>
          <w:rFonts w:ascii="Times New Roman" w:hAnsi="Times New Roman" w:eastAsia="Times New Roman" w:cs="Times New Roman"/>
          <w:b/>
          <w:bCs/>
          <w:iCs/>
          <w:sz w:val="24"/>
          <w:szCs w:val="28"/>
          <w:lang w:eastAsia="ar-SA"/>
        </w:rPr>
        <w:t>3.7.5. СВЯЗЬ</w:t>
      </w:r>
      <w:bookmarkEnd w:id="57"/>
      <w:r>
        <w:rPr>
          <w:rFonts w:ascii="Times New Roman" w:hAnsi="Times New Roman" w:eastAsia="Times New Roman" w:cs="Times New Roman"/>
          <w:b/>
          <w:bCs/>
          <w:iCs/>
          <w:sz w:val="24"/>
          <w:szCs w:val="28"/>
          <w:lang w:eastAsia="ar-SA"/>
        </w:rPr>
        <w:tab/>
      </w:r>
    </w:p>
    <w:p>
      <w:pPr>
        <w:spacing w:line="360" w:lineRule="auto"/>
        <w:ind w:firstLine="709"/>
        <w:jc w:val="both"/>
        <w:rPr>
          <w:rFonts w:ascii="Calibri" w:hAnsi="Calibri" w:eastAsia="Times New Roman" w:cs="Times New Roman"/>
          <w:b/>
          <w:szCs w:val="20"/>
          <w:lang w:eastAsia="ru-RU"/>
        </w:rPr>
      </w:pPr>
      <w:r>
        <w:rPr>
          <w:rFonts w:ascii="Times New Roman" w:hAnsi="Times New Roman" w:eastAsia="Times New Roman" w:cs="Times New Roman"/>
          <w:b/>
          <w:sz w:val="24"/>
          <w:szCs w:val="28"/>
          <w:lang w:eastAsia="ru-RU"/>
        </w:rPr>
        <w:t>Проектные предложения</w:t>
      </w:r>
    </w:p>
    <w:p>
      <w:pPr>
        <w:spacing w:after="0" w:line="240" w:lineRule="auto"/>
        <w:ind w:right="20"/>
        <w:jc w:val="both"/>
        <w:rPr>
          <w:rFonts w:ascii="Times New Roman" w:hAnsi="Times New Roman" w:eastAsia="Arial Unicode MS" w:cs="Times New Roman"/>
          <w:sz w:val="24"/>
          <w:szCs w:val="24"/>
          <w:lang w:val="zh-CN" w:eastAsia="zh-CN"/>
        </w:rPr>
      </w:pPr>
      <w:bookmarkStart w:id="61" w:name="_Toc312174086"/>
      <w:bookmarkStart w:id="62" w:name="_Toc312171343"/>
      <w:r>
        <w:rPr>
          <w:rFonts w:ascii="Times New Roman" w:hAnsi="Times New Roman" w:eastAsia="Arial Unicode MS" w:cs="Times New Roman"/>
          <w:sz w:val="24"/>
          <w:szCs w:val="24"/>
          <w:lang w:val="zh-CN" w:eastAsia="zh-CN"/>
        </w:rPr>
        <w:t>Поставщиками услуг телефонной связи в районе являются:</w:t>
      </w:r>
    </w:p>
    <w:p>
      <w:pPr>
        <w:tabs>
          <w:tab w:val="left" w:pos="396"/>
        </w:tabs>
        <w:spacing w:after="0" w:line="240" w:lineRule="auto"/>
        <w:ind w:left="20" w:firstLine="831"/>
        <w:jc w:val="both"/>
        <w:rPr>
          <w:rFonts w:ascii="Times New Roman" w:hAnsi="Times New Roman" w:eastAsia="Arial Unicode MS" w:cs="Times New Roman"/>
          <w:sz w:val="24"/>
          <w:szCs w:val="24"/>
          <w:lang w:val="zh-CN" w:eastAsia="zh-CN"/>
        </w:rPr>
      </w:pPr>
      <w:r>
        <w:rPr>
          <w:rFonts w:ascii="Times New Roman" w:hAnsi="Times New Roman" w:eastAsia="Arial Unicode MS" w:cs="Times New Roman"/>
          <w:sz w:val="24"/>
          <w:szCs w:val="24"/>
          <w:lang w:val="zh-CN" w:eastAsia="zh-CN"/>
        </w:rPr>
        <w:t>- Ивановский филиал ОАО «ЦентрТелеком»;</w:t>
      </w:r>
    </w:p>
    <w:p>
      <w:pPr>
        <w:tabs>
          <w:tab w:val="left" w:pos="396"/>
        </w:tabs>
        <w:spacing w:after="0" w:line="240" w:lineRule="auto"/>
        <w:ind w:left="20" w:firstLine="831"/>
        <w:jc w:val="both"/>
        <w:rPr>
          <w:rFonts w:ascii="Times New Roman" w:hAnsi="Times New Roman" w:eastAsia="Arial Unicode MS" w:cs="Times New Roman"/>
          <w:sz w:val="24"/>
          <w:szCs w:val="24"/>
          <w:lang w:eastAsia="zh-CN"/>
        </w:rPr>
      </w:pPr>
      <w:r>
        <w:rPr>
          <w:rFonts w:ascii="Times New Roman" w:hAnsi="Times New Roman" w:eastAsia="Arial Unicode MS" w:cs="Times New Roman"/>
          <w:sz w:val="24"/>
          <w:szCs w:val="24"/>
          <w:lang w:val="zh-CN" w:eastAsia="zh-CN"/>
        </w:rPr>
        <w:t>Сотовая связь на территории поселения отсутствует, что делает невозможным выход в Интернет и оказание муниципальных услуг в электронном виде в соответствии с Федеральным законом .Поэтому в 2012 году необходимо запланировать строительство вышки мобильной связи с объемом финансирования 1 млн.руб. В настоящее время проводятся переговоры с компанией сотовой связи «Мегафон».</w:t>
      </w:r>
    </w:p>
    <w:p>
      <w:pPr>
        <w:tabs>
          <w:tab w:val="left" w:pos="396"/>
        </w:tabs>
        <w:spacing w:after="0" w:line="240" w:lineRule="auto"/>
        <w:rPr>
          <w:rFonts w:ascii="Times New Roman" w:hAnsi="Times New Roman" w:eastAsia="Arial Unicode MS" w:cs="Times New Roman"/>
          <w:b/>
          <w:sz w:val="24"/>
          <w:szCs w:val="24"/>
          <w:lang w:eastAsia="zh-CN"/>
        </w:rPr>
      </w:pPr>
    </w:p>
    <w:p>
      <w:pPr>
        <w:tabs>
          <w:tab w:val="left" w:pos="396"/>
        </w:tabs>
        <w:spacing w:after="0" w:line="240" w:lineRule="auto"/>
        <w:ind w:left="20" w:firstLine="831"/>
        <w:rPr>
          <w:rFonts w:ascii="Times New Roman" w:hAnsi="Times New Roman" w:eastAsia="Arial Unicode MS" w:cs="Times New Roman"/>
          <w:b/>
          <w:sz w:val="24"/>
          <w:szCs w:val="24"/>
          <w:lang w:eastAsia="zh-CN"/>
        </w:rPr>
      </w:pPr>
    </w:p>
    <w:p>
      <w:pPr>
        <w:tabs>
          <w:tab w:val="left" w:pos="396"/>
        </w:tabs>
        <w:spacing w:after="0" w:line="240" w:lineRule="auto"/>
        <w:ind w:left="20" w:firstLine="831"/>
        <w:rPr>
          <w:rFonts w:ascii="Times New Roman" w:hAnsi="Times New Roman" w:eastAsia="Arial Unicode MS" w:cs="Times New Roman"/>
          <w:b/>
          <w:sz w:val="24"/>
          <w:szCs w:val="24"/>
          <w:lang w:eastAsia="zh-CN"/>
        </w:rPr>
      </w:pPr>
      <w:r>
        <w:rPr>
          <w:rFonts w:ascii="Times New Roman" w:hAnsi="Times New Roman" w:eastAsia="Arial Unicode MS" w:cs="Times New Roman"/>
          <w:b/>
          <w:sz w:val="24"/>
          <w:szCs w:val="24"/>
          <w:lang w:eastAsia="zh-CN"/>
        </w:rPr>
        <w:t>ВЫВОД</w:t>
      </w:r>
    </w:p>
    <w:p>
      <w:pPr>
        <w:tabs>
          <w:tab w:val="left" w:pos="396"/>
        </w:tabs>
        <w:spacing w:after="0" w:line="240" w:lineRule="auto"/>
        <w:ind w:left="20" w:firstLine="406"/>
        <w:rPr>
          <w:rFonts w:ascii="Times New Roman" w:hAnsi="Times New Roman" w:eastAsia="Arial Unicode MS" w:cs="Times New Roman"/>
          <w:b/>
          <w:sz w:val="24"/>
          <w:szCs w:val="24"/>
          <w:lang w:eastAsia="zh-CN"/>
        </w:rPr>
      </w:pPr>
    </w:p>
    <w:p>
      <w:pPr>
        <w:suppressAutoHyphens/>
        <w:spacing w:before="280" w:after="0" w:line="240" w:lineRule="auto"/>
        <w:ind w:firstLine="72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Для повышения качества предоставления коммунальных услуг и эффективности использования природных ресурсов необходимо обеспечить масштабную реализацию проектов модернизации объектов коммунальной инфраструктуры с одновременным реформированием управления жилищно-коммунальным комплексом.</w:t>
      </w:r>
    </w:p>
    <w:p>
      <w:pPr>
        <w:suppressAutoHyphens/>
        <w:spacing w:before="280" w:after="0" w:line="240" w:lineRule="auto"/>
        <w:ind w:firstLine="720"/>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Модернизация объектов коммунальной инфраструктуры Дмитриевского сельского поселения отвечает стратегическим интересам и позволит:</w:t>
      </w:r>
    </w:p>
    <w:p>
      <w:pPr>
        <w:suppressAutoHyphens/>
        <w:spacing w:before="280" w:after="0" w:line="240" w:lineRule="auto"/>
        <w:ind w:firstLine="706"/>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обеспечить более комфортные условия проживания населения Дмитриевского сельского поселения Заволжского муниципального района Ивановской области путем повышения качества предоставления коммунальных услуг;</w:t>
      </w:r>
    </w:p>
    <w:p>
      <w:pPr>
        <w:suppressAutoHyphens/>
        <w:spacing w:before="280" w:after="0" w:line="240" w:lineRule="auto"/>
        <w:ind w:firstLine="706"/>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 снизить потребление энергетических ресурсов в результате снижения потерь в процессе производства и доставки энергетических ресурсов потребителям; </w:t>
      </w:r>
    </w:p>
    <w:p>
      <w:pPr>
        <w:suppressAutoHyphens/>
        <w:spacing w:before="280" w:after="0" w:line="240" w:lineRule="auto"/>
        <w:ind w:firstLine="706"/>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-обеспечить более рациональное использование водных ресурсов;</w:t>
      </w:r>
    </w:p>
    <w:p>
      <w:pPr>
        <w:suppressAutoHyphens/>
        <w:spacing w:before="280" w:after="0" w:line="240" w:lineRule="auto"/>
        <w:ind w:firstLine="706"/>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улучшить экологическое состояние территории;</w:t>
      </w:r>
    </w:p>
    <w:p>
      <w:pPr>
        <w:spacing w:before="100" w:beforeAutospacing="1" w:after="0" w:line="240" w:lineRule="auto"/>
        <w:ind w:firstLine="70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Причинами наличия нерешенных проблем ЖКХ Дмитриевского сельского поселения Заволжского муниципального района Ивановской области являются:</w:t>
      </w:r>
    </w:p>
    <w:p>
      <w:pPr>
        <w:spacing w:before="100" w:beforeAutospacing="1" w:after="0" w:line="240" w:lineRule="auto"/>
        <w:ind w:firstLine="70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высокий уровень износа объектов и систем коммунальной инфраструктуры, их технологическая отсталость;</w:t>
      </w:r>
    </w:p>
    <w:p>
      <w:pPr>
        <w:spacing w:before="100" w:beforeAutospacing="1" w:after="0" w:line="240" w:lineRule="auto"/>
        <w:ind w:firstLine="70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недоступность долгосрочных инвестиционных ресурсов для организаций коммунального комплекса;</w:t>
      </w:r>
    </w:p>
    <w:p>
      <w:pPr>
        <w:spacing w:before="100" w:beforeAutospacing="1" w:after="0" w:line="240" w:lineRule="auto"/>
        <w:ind w:firstLine="70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слабое привлечение средств внебюджетных источников для финансирования строительства и модернизации объектов коммунальной инфраструктуры.</w:t>
      </w:r>
    </w:p>
    <w:p>
      <w:pPr>
        <w:suppressAutoHyphens/>
        <w:spacing w:before="280" w:after="0" w:line="240" w:lineRule="auto"/>
        <w:ind w:firstLine="706"/>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 целью решения обозначенных проблем сумма средств на реализацию подпрограммы «Модернизация объектов коммунальной инфраструктуры Дмитриевского сельского поселения Заволжского муниципального района» долгосрочной целевой программы Ивановской области «Жилище» на 2011 - 2015 годы (далее – Подпрограмма) определена в общем объеме 1049,4 тыс. руб. Однако общая потребность в средствах на модернизацию объектов коммунальной инфраструктуры Дмитриевского сельского поселения на 2011 - 2015 годы составляет более 19 млн. руб. Такой объем финансирования не может быть обеспечен только за счет бюджетных ассигнований. Требуется создание условий для привлечения средств внебюджетных источников посредством создания условий для их привлечения. Поэтому одной из основных задач является формирование условий для реализации инвестиционных проектов и привлечения средств как бюджетных, так и внебюджетных источников для модернизации объектов коммунальной инфраструктуры. Таким образом, реализация Подпрограммы будет отражать произошедшие за последнее время изменения в законодательной базе, касающиеся реформирования жилищно-коммунального комплекса, а также будет направлена на повышение эффективности использования бюджетных средств и привлечение средств внебюджетных источников в модернизацию объектов коммунальной инфраструктуры.</w:t>
      </w:r>
    </w:p>
    <w:p>
      <w:pPr>
        <w:tabs>
          <w:tab w:val="left" w:pos="396"/>
        </w:tabs>
        <w:spacing w:after="0" w:line="240" w:lineRule="auto"/>
        <w:ind w:left="20" w:firstLine="406"/>
        <w:rPr>
          <w:rFonts w:ascii="Times New Roman" w:hAnsi="Times New Roman" w:eastAsia="Arial Unicode MS" w:cs="Times New Roman"/>
          <w:b/>
          <w:sz w:val="24"/>
          <w:szCs w:val="24"/>
          <w:lang w:eastAsia="zh-CN"/>
        </w:rPr>
      </w:pPr>
    </w:p>
    <w:p>
      <w:pPr>
        <w:keepNext/>
        <w:keepLines/>
        <w:spacing w:before="480" w:after="0" w:line="240" w:lineRule="auto"/>
        <w:ind w:right="-284" w:firstLine="709"/>
        <w:contextualSpacing/>
        <w:outlineLvl w:val="0"/>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3.8. МЕРОПРИЯТИЯ ПО ОХРАНЕ ОКРУЖАЮЩЕЙ СРЕДЫ И РАЦИОНАЛЬНОМУ ПРИРОДОПОЛЬЗОВАНИЮ</w:t>
      </w:r>
      <w:bookmarkEnd w:id="61"/>
      <w:bookmarkEnd w:id="62"/>
    </w:p>
    <w:p>
      <w:pPr>
        <w:rPr>
          <w:rFonts w:ascii="Calibri" w:hAnsi="Calibri" w:eastAsia="Times New Roman" w:cs="Times New Roman"/>
          <w:lang w:eastAsia="ru-RU"/>
        </w:rPr>
      </w:pPr>
    </w:p>
    <w:p>
      <w:pPr>
        <w:spacing w:line="240" w:lineRule="auto"/>
        <w:ind w:firstLine="709"/>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widowControl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Мероприятия по охране атмосферного воздуха</w:t>
      </w:r>
    </w:p>
    <w:p>
      <w:pPr>
        <w:spacing w:after="120"/>
        <w:ind w:firstLine="5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целях охраны воздушного бассейна Дмитриевского сельского поселения предлагается проведение следующих природоохранных мероприятий:</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ar-SA"/>
        </w:rPr>
        <w:t xml:space="preserve">разработка проектов санитарно-защитных зон </w:t>
      </w:r>
      <w:r>
        <w:rPr>
          <w:rFonts w:ascii="Times New Roman" w:hAnsi="Times New Roman" w:eastAsia="Times New Roman" w:cs="Times New Roman"/>
          <w:sz w:val="24"/>
          <w:szCs w:val="24"/>
          <w:lang w:eastAsia="ru-RU"/>
        </w:rPr>
        <w:t>для всех проектируемых, реконструируемых и действующих промышленных и вспомогательных объектов и производств (особую опасность представляют угольные котельные, газовые котельные и АЗС, а так же хим. производства), являющихся источниками загрязнения атмосферного воздуха;</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проверка соответствия существующих разрывов установленным проектами санитарно-защитным зонам, оборудование санитарно-защитных зон;</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контроля выполнения нормативов предельно допустимых выбросов загрязняющих веществ в атмосферный воздух на промышленных предприятиях;</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внедрение и реконструкция пылегазоочистного оборудования на производственных объектах, использование высококачественных видов топлива, соблюдение технологических режимов работы, исключающих аварийный выброс;</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зеленых защитных полос вдоль транспортных магистралей;</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озеленение санитарно-защитных зон;</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устройство асфальтобетонного покрытия проезжей части улиц;</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выявление и рекультивация существующих переполненных и не удовлетворяющих санитарно-экологическим нормам свалок твердых бытовых отходов, разработка проектов и строительство новых полигонов ТБО, удовлетворяющих экологическим и санитарно–гигиеническим требованиям; ликвидация всех несанкционированных свалок;</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восстановление растительного покрова в местах сильной деградации зеленых насаждений;</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целенаправленное формирование крупных насаждений из деревьев и кустарников местных видов, устойчивых к влиянию антропо- и техногенных факторов;</w:t>
      </w:r>
    </w:p>
    <w:p>
      <w:pPr>
        <w:numPr>
          <w:ilvl w:val="0"/>
          <w:numId w:val="36"/>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использование многоярусных полупроницаемых конструкций посадок из газоустойчивых пород, для защиты зданий и улиц от шума, пыли, выхлопных газов, ветра и снеговых заносов;</w:t>
      </w:r>
    </w:p>
    <w:p>
      <w:pPr>
        <w:autoSpaceDE w:val="0"/>
        <w:autoSpaceDN w:val="0"/>
        <w:adjustRightInd w:val="0"/>
        <w:spacing w:after="0" w:line="240" w:lineRule="auto"/>
        <w:ind w:left="720"/>
        <w:jc w:val="both"/>
        <w:rPr>
          <w:rFonts w:ascii="Times New Roman" w:hAnsi="Times New Roman" w:eastAsia="Times New Roman" w:cs="Times New Roman"/>
          <w:sz w:val="24"/>
          <w:szCs w:val="24"/>
          <w:lang w:eastAsia="ru-RU"/>
        </w:rPr>
      </w:pPr>
    </w:p>
    <w:p>
      <w:pPr>
        <w:widowControl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Мероприятия по рациональному использованию и охране водных объектов</w:t>
      </w:r>
    </w:p>
    <w:p>
      <w:pPr>
        <w:widowControl w:val="0"/>
        <w:spacing w:line="240" w:lineRule="auto"/>
        <w:ind w:firstLine="709"/>
        <w:contextualSpacing/>
        <w:jc w:val="both"/>
        <w:rPr>
          <w:rFonts w:ascii="Times New Roman" w:hAnsi="Times New Roman" w:eastAsia="Times New Roman" w:cs="Times New Roman"/>
          <w:b/>
          <w:sz w:val="24"/>
          <w:szCs w:val="24"/>
          <w:lang w:eastAsia="ru-RU"/>
        </w:rPr>
      </w:pPr>
    </w:p>
    <w:p>
      <w:pPr>
        <w:autoSpaceDE w:val="0"/>
        <w:autoSpaceDN w:val="0"/>
        <w:adjustRightInd w:val="0"/>
        <w:spacing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Охрана водных объектов необходима для предотвращения и устранения загрязнения, поверхностных и подземных вод, которое может привести к нарушению здоровья населения, развитию массовых инфекционных, паразитарных и неинфекционных заболеваний, ухудшению условий водопользования или его ограничению для питьевых и хозяйственно-бытовых  целей.</w:t>
      </w:r>
    </w:p>
    <w:p>
      <w:pPr>
        <w:autoSpaceDE w:val="0"/>
        <w:autoSpaceDN w:val="0"/>
        <w:adjustRightInd w:val="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охраны водной среды необходимо проведение следующих мероприятий:</w:t>
      </w:r>
    </w:p>
    <w:p>
      <w:pPr>
        <w:numPr>
          <w:ilvl w:val="0"/>
          <w:numId w:val="37"/>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регулярного гидромониторинга поверхностных водных объектов, мониторинга подземных вод в пределах максимально техногенно нагруженной территории, включающей промышленные зоны, места складирования ТБО, участки недропользования (групповые и одиночные водозаборы), регулярное проведение бактериологических и химических анализов воды, подаваемой потребителю;</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очистка водных объектов, отнесенных к особо охраняемым природным зонам: озер и рек, обустройство родников, выделение водоохранной зоны для них</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установление размеров водоохраных зон и прибрежных защитных полос для всех поверхностных водных объектов, благоустройство водоохраных зон водных объектов;</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обеспечение соблюдения требований режима использования водных объектов, установка водоохранных знаков, расчистка прибрежных территорий;</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выявление предприятий, осуществляющих самовольное пользование водными объектами и применение по отношению к ним штрафных санкций, в соответствии с природоохранным законодательством;</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прекращение сброса неочищенных сточных вод на рельеф и в водные объекты;</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оборудование промышленных площадок, территорий автозаправочных станций нефтеловушками, устройствами для улавливания мусора, прудами–отстойниками;</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обваловка территорий животноводческих ферм, оборудование их системой сбора и очистки сточных вод; </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очистка стоков животноводческих комплексов либо на локальных очистных сооружениях до степени, разрешенной к приему в систему канализации, либо полная очистка на локальных очистных сооружениях до нормативных показателей, разрешенных к сбросу в водные объекты;</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разработка проектов и организация зон санитарной охраны источников питьевого водоснабжения, соблюдение специального режима на территории поясов зон санитарной охраны;</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приведение нецентрализованных источников водоснабжения (колодцев) в соответствие с санитарными правилами, проведение ремонтных работ и профилактической дезинфекции;</w:t>
      </w:r>
    </w:p>
    <w:p>
      <w:pPr>
        <w:numPr>
          <w:ilvl w:val="0"/>
          <w:numId w:val="38"/>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ликвидация несанкционированных свалок отходов производства и потребления.</w:t>
      </w:r>
    </w:p>
    <w:p>
      <w:pPr>
        <w:widowControl w:val="0"/>
        <w:spacing w:line="240" w:lineRule="auto"/>
        <w:ind w:firstLine="709"/>
        <w:contextualSpacing/>
        <w:jc w:val="both"/>
        <w:rPr>
          <w:rFonts w:ascii="Times New Roman" w:hAnsi="Times New Roman" w:eastAsia="Times New Roman" w:cs="Times New Roman"/>
          <w:b/>
          <w:sz w:val="24"/>
          <w:szCs w:val="24"/>
          <w:lang w:eastAsia="ru-RU"/>
        </w:rPr>
      </w:pPr>
    </w:p>
    <w:p>
      <w:pPr>
        <w:widowControl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Мероприятия по охране почвенного покрова</w:t>
      </w:r>
    </w:p>
    <w:p>
      <w:pPr>
        <w:widowControl w:val="0"/>
        <w:spacing w:line="240" w:lineRule="auto"/>
        <w:ind w:firstLine="709"/>
        <w:contextualSpacing/>
        <w:jc w:val="both"/>
        <w:rPr>
          <w:rFonts w:ascii="Times New Roman" w:hAnsi="Times New Roman" w:eastAsia="Times New Roman" w:cs="Times New Roman"/>
          <w:b/>
          <w:sz w:val="24"/>
          <w:szCs w:val="24"/>
          <w:lang w:eastAsia="ru-RU"/>
        </w:rPr>
      </w:pPr>
    </w:p>
    <w:p>
      <w:pPr>
        <w:autoSpaceDE w:val="0"/>
        <w:autoSpaceDN w:val="0"/>
        <w:adjustRightInd w:val="0"/>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Для восстановления и предотвращения загрязнения и разрушения почвенного покрова, а также организации системы обращения с отходами предусматривается проведения следующих природоохранных мероприятий:</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мониторинга загрязнения почвы на селитебных территориях, в пределах максимально техногенно нагруженной территории поселения, включающей промышленные зоны, места складирования ТБО, участки недропользования и в зоне влияния предприятий;</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разработка проектов нормативов образования и лимитов размещения отходов для предприятий, проверка соблюдения требований существующих проектов;</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постановка учета движения особо опасных отходов на предприятиях и в организациях, в частности, ртутьсодержащих ламп;</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выделение и организация особых мест временного хранения опасных экологических отходов на предприятиях перед сдачей их на утилизацию лицензированным организациям;</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заключение предприятиями договоров на утилизацию и переработку опасных отходов с лицензированными организациями;</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особого контроля за соблюдением технологических процессов и природоохранных норм на месторождениях полезных ископаемых (торфоразработках);</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хранение минеральных удобрений и пестицидов (ядохимикатов) только на специально оборудованных складах;</w:t>
      </w:r>
    </w:p>
    <w:p>
      <w:pPr>
        <w:numPr>
          <w:ilvl w:val="0"/>
          <w:numId w:val="39"/>
        </w:numPr>
        <w:tabs>
          <w:tab w:val="left" w:pos="1260"/>
        </w:tabs>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внедрение системы управления и организации сбора, вывоза ТБО с территорий частного жилого фонда, в т.ч. очистка от твердых отходов путем организации раздельного сбора сухого мусора в домах и на улицах, вывоз мусора от жилых домов и учреждений на специализированные полигоны  ТБО;</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проведение технической рекультивации земель, нарушенных при строительстве и прокладке инженерных сетей;</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ликвидация несанкционированных свалок отходов производства и потребления;</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оборудование площадок с твердым покрытием для временного хранения отходов за пределами водоохранных зон водных объектов и зон санитарной охраны водозаборов во всех населенных пунктах;</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выбор участков и проведение проектно-изыскательских работ по размещению полигонов ТБО в соответствии с представленным в проекте расчетом, с последующей организацией полигонов по установленным санитарным нормам и правилам;</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рекультивация территорий ликвидируемых свалок и мест захоронения отходов производства и потребления;</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обезвреживание навоза в специально оборудованных навозохранилищах;</w:t>
      </w:r>
    </w:p>
    <w:p>
      <w:pPr>
        <w:numPr>
          <w:ilvl w:val="0"/>
          <w:numId w:val="39"/>
        </w:numPr>
        <w:tabs>
          <w:tab w:val="left" w:pos="1260"/>
        </w:tabs>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осуществление отвода участков под жилую застройку только при заключении об экологической безопасности почв или при наличии программы по ее рекультивации;</w:t>
      </w:r>
    </w:p>
    <w:p>
      <w:pPr>
        <w:numPr>
          <w:ilvl w:val="0"/>
          <w:numId w:val="39"/>
        </w:numPr>
        <w:tabs>
          <w:tab w:val="left" w:pos="1260"/>
        </w:tabs>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поверхностного стока;</w:t>
      </w:r>
    </w:p>
    <w:p>
      <w:pPr>
        <w:numPr>
          <w:ilvl w:val="0"/>
          <w:numId w:val="39"/>
        </w:numPr>
        <w:autoSpaceDE w:val="0"/>
        <w:autoSpaceDN w:val="0"/>
        <w:adjustRightInd w:val="0"/>
        <w:spacing w:after="0" w:line="240" w:lineRule="auto"/>
        <w:ind w:hanging="18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усиление контроля за использованием земель и повышение уровня экологических требований к деятельности землепользователей;</w:t>
      </w:r>
    </w:p>
    <w:p>
      <w:pPr>
        <w:tabs>
          <w:tab w:val="right" w:pos="9356"/>
        </w:tabs>
        <w:ind w:firstLine="540"/>
        <w:jc w:val="both"/>
        <w:rPr>
          <w:rFonts w:ascii="Times New Roman" w:hAnsi="Times New Roman" w:eastAsia="Times New Roman" w:cs="Times New Roman"/>
          <w:sz w:val="24"/>
          <w:szCs w:val="24"/>
          <w:lang w:eastAsia="ru-RU"/>
        </w:rPr>
      </w:pPr>
    </w:p>
    <w:p>
      <w:pPr>
        <w:tabs>
          <w:tab w:val="right" w:pos="9356"/>
        </w:tabs>
        <w:ind w:firstLine="540"/>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населенных пунктах с численностью населения 50 и более человек должна быть организована служба контейнерного сбора и хранения мусора (ТБО) с регулярным вывозом его на полигоны ТБО.</w:t>
      </w:r>
    </w:p>
    <w:p>
      <w:pPr>
        <w:widowControl w:val="0"/>
        <w:tabs>
          <w:tab w:val="left" w:pos="284"/>
          <w:tab w:val="left" w:pos="709"/>
        </w:tabs>
        <w:suppressAutoHyphens/>
        <w:spacing w:after="0" w:line="240" w:lineRule="auto"/>
        <w:ind w:left="284" w:firstLine="425"/>
        <w:contextualSpacing/>
        <w:jc w:val="both"/>
        <w:rPr>
          <w:rFonts w:ascii="Times New Roman" w:hAnsi="Times New Roman" w:eastAsia="Calibri" w:cs="Times New Roman"/>
          <w:sz w:val="24"/>
          <w:szCs w:val="24"/>
        </w:rPr>
      </w:pPr>
      <w:r>
        <w:rPr>
          <w:rFonts w:ascii="Times New Roman" w:hAnsi="Times New Roman" w:eastAsia="Times New Roman" w:cs="Times New Roman"/>
          <w:b/>
          <w:sz w:val="24"/>
          <w:szCs w:val="24"/>
          <w:lang w:eastAsia="ar-SA"/>
        </w:rPr>
        <w:t>Мероприятия по санитарной очистке территории</w:t>
      </w:r>
    </w:p>
    <w:p>
      <w:pPr>
        <w:widowControl w:val="0"/>
        <w:tabs>
          <w:tab w:val="left" w:pos="284"/>
          <w:tab w:val="left" w:pos="709"/>
        </w:tabs>
        <w:suppressAutoHyphens/>
        <w:spacing w:after="0" w:line="240" w:lineRule="auto"/>
        <w:ind w:left="284" w:firstLine="425"/>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p>
    <w:p>
      <w:pPr>
        <w:widowControl w:val="0"/>
        <w:numPr>
          <w:ilvl w:val="0"/>
          <w:numId w:val="40"/>
        </w:numPr>
        <w:tabs>
          <w:tab w:val="left" w:pos="284"/>
          <w:tab w:val="left" w:pos="709"/>
        </w:tabs>
        <w:spacing w:after="0" w:line="240" w:lineRule="auto"/>
        <w:ind w:left="284" w:firstLine="0"/>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осуществление сбора опасных отходов от населения (в первую очередь ртутьсодержащих), а также организация их транспортировки и обезвреживания.</w:t>
      </w:r>
    </w:p>
    <w:p>
      <w:pPr>
        <w:widowControl w:val="0"/>
        <w:tabs>
          <w:tab w:val="left" w:pos="284"/>
          <w:tab w:val="left" w:pos="709"/>
        </w:tabs>
        <w:spacing w:after="0" w:line="240" w:lineRule="auto"/>
        <w:ind w:left="284"/>
        <w:contextualSpacing/>
        <w:jc w:val="both"/>
        <w:rPr>
          <w:rFonts w:ascii="Times New Roman" w:hAnsi="Times New Roman" w:eastAsia="Calibri" w:cs="Times New Roman"/>
          <w:sz w:val="24"/>
          <w:szCs w:val="24"/>
          <w:lang w:eastAsia="ru-RU"/>
        </w:rPr>
      </w:pPr>
    </w:p>
    <w:p>
      <w:pPr>
        <w:widowControl w:val="0"/>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Мероприятия по охране населения от радиоактивного излучения</w:t>
      </w:r>
    </w:p>
    <w:p>
      <w:pPr>
        <w:widowControl w:val="0"/>
        <w:numPr>
          <w:ilvl w:val="0"/>
          <w:numId w:val="40"/>
        </w:numPr>
        <w:suppressAutoHyphens/>
        <w:spacing w:after="0" w:line="240" w:lineRule="auto"/>
        <w:ind w:left="284" w:firstLine="0"/>
        <w:contextualSpacing/>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ежегодное проведение мониторинга радиационного фона.</w:t>
      </w:r>
    </w:p>
    <w:p>
      <w:pPr>
        <w:widowControl w:val="0"/>
        <w:suppressAutoHyphens/>
        <w:spacing w:after="0" w:line="240" w:lineRule="auto"/>
        <w:ind w:left="720"/>
        <w:contextualSpacing/>
        <w:jc w:val="both"/>
        <w:rPr>
          <w:rFonts w:ascii="Times New Roman" w:hAnsi="Times New Roman" w:eastAsia="Calibri" w:cs="Times New Roman"/>
          <w:sz w:val="24"/>
          <w:szCs w:val="24"/>
          <w:lang w:eastAsia="ar-SA"/>
        </w:rPr>
      </w:pPr>
    </w:p>
    <w:p>
      <w:pPr>
        <w:widowControl w:val="0"/>
        <w:suppressAutoHyphens/>
        <w:spacing w:after="0" w:line="240" w:lineRule="auto"/>
        <w:ind w:left="720"/>
        <w:contextualSpacing/>
        <w:jc w:val="both"/>
        <w:rPr>
          <w:rFonts w:ascii="Times New Roman" w:hAnsi="Times New Roman" w:eastAsia="Calibri" w:cs="Times New Roman"/>
          <w:sz w:val="24"/>
          <w:szCs w:val="24"/>
          <w:lang w:eastAsia="ar-SA"/>
        </w:rPr>
      </w:pPr>
    </w:p>
    <w:p>
      <w:pPr>
        <w:widowControl w:val="0"/>
        <w:suppressAutoHyphens/>
        <w:spacing w:after="0" w:line="240" w:lineRule="auto"/>
        <w:ind w:left="720"/>
        <w:contextualSpacing/>
        <w:jc w:val="both"/>
        <w:rPr>
          <w:rFonts w:ascii="Times New Roman" w:hAnsi="Times New Roman" w:eastAsia="Calibri" w:cs="Times New Roman"/>
          <w:sz w:val="24"/>
          <w:szCs w:val="24"/>
          <w:lang w:eastAsia="ar-SA"/>
        </w:rPr>
      </w:pPr>
    </w:p>
    <w:p>
      <w:pPr>
        <w:keepNext/>
        <w:keepLines/>
        <w:spacing w:before="480" w:after="0" w:line="240" w:lineRule="auto"/>
        <w:contextualSpacing/>
        <w:outlineLvl w:val="0"/>
        <w:rPr>
          <w:rFonts w:ascii="Times New Roman" w:hAnsi="Times New Roman" w:eastAsia="Times New Roman" w:cs="Times New Roman"/>
          <w:b/>
          <w:bCs/>
          <w:sz w:val="24"/>
          <w:szCs w:val="24"/>
          <w:lang w:eastAsia="ru-RU"/>
        </w:rPr>
      </w:pPr>
      <w:bookmarkStart w:id="63" w:name="_Toc312171344"/>
      <w:bookmarkStart w:id="64" w:name="_Toc312174087"/>
      <w:r>
        <w:rPr>
          <w:rFonts w:ascii="Times New Roman" w:hAnsi="Times New Roman" w:eastAsia="Times New Roman" w:cs="Times New Roman"/>
          <w:b/>
          <w:bCs/>
          <w:sz w:val="24"/>
          <w:szCs w:val="24"/>
          <w:lang w:eastAsia="ru-RU"/>
        </w:rPr>
        <w:t>3.9. МЕРОПРИЯТИЯ ПО ЗАЩИТЕ ТЕРРИТОРИИ ОТ ОПАСНЫХ ПРИРОДНЫХ И ТЕХНОГЕННЫХ ПРОЦЕССОВ И ЧРЕЗВЫЧАЙНЫХ СИТУАЦИЙ</w:t>
      </w:r>
      <w:bookmarkEnd w:id="63"/>
      <w:bookmarkEnd w:id="64"/>
    </w:p>
    <w:p>
      <w:pPr>
        <w:spacing w:line="240" w:lineRule="auto"/>
        <w:ind w:firstLine="709"/>
        <w:contextualSpacing/>
        <w:rPr>
          <w:rFonts w:ascii="Times New Roman" w:hAnsi="Times New Roman" w:eastAsia="Times New Roman" w:cs="Times New Roman"/>
          <w:b/>
          <w:sz w:val="24"/>
          <w:szCs w:val="24"/>
          <w:lang w:eastAsia="ru-RU"/>
        </w:rPr>
      </w:pPr>
    </w:p>
    <w:p>
      <w:pPr>
        <w:spacing w:line="240" w:lineRule="auto"/>
        <w:ind w:firstLine="709"/>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Проектные предложения</w:t>
      </w:r>
    </w:p>
    <w:p>
      <w:pPr>
        <w:spacing w:line="240" w:lineRule="auto"/>
        <w:ind w:firstLine="709"/>
        <w:contextualSpacing/>
        <w:rPr>
          <w:rFonts w:ascii="Times New Roman" w:hAnsi="Times New Roman" w:eastAsia="Times New Roman" w:cs="Times New Roman"/>
          <w:b/>
          <w:sz w:val="24"/>
          <w:szCs w:val="24"/>
          <w:lang w:eastAsia="ru-RU"/>
        </w:rPr>
      </w:pPr>
    </w:p>
    <w:p>
      <w:pPr>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Мероприятия по предупреждению и ликвидации чрезвычайных ситуаций должны проводиться в соответствии с </w:t>
      </w:r>
      <w:r>
        <w:rPr>
          <w:rFonts w:ascii="Times New Roman" w:hAnsi="Times New Roman" w:eastAsia="Calibri" w:cs="Times New Roman"/>
          <w:sz w:val="24"/>
          <w:szCs w:val="24"/>
          <w:lang w:eastAsia="ru-RU"/>
        </w:rPr>
        <w:t xml:space="preserve">Федеральным законом от 21.12.1994 № 68-ФЗ «О защите населения и территорий от чрезвычайных ситуаций природного и техногенного характера». </w:t>
      </w:r>
    </w:p>
    <w:p>
      <w:pPr>
        <w:spacing w:before="6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Комплекс инженерно-технических мероприятий по защите территорий от затоплений и подтоплений проводится в соответствии со </w:t>
      </w:r>
      <w:r>
        <w:rPr>
          <w:rFonts w:ascii="Times New Roman" w:hAnsi="Times New Roman" w:eastAsia="Calibri" w:cs="Times New Roman"/>
          <w:sz w:val="24"/>
          <w:szCs w:val="24"/>
          <w:lang w:eastAsia="ru-RU"/>
        </w:rPr>
        <w:t>СНиП 2.06.15-85 «Инженерная защита территории от затопления и подтопления».</w:t>
      </w:r>
    </w:p>
    <w:p>
      <w:pPr>
        <w:spacing w:before="6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Мероприятия по предотвращению лесных пожаров проводятся в соответствии с Лесным кодексом Российской Федерации.</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Комплекс противопожарных мероприятий намечается с учетом степени пожарной опасности в лесах лесничества и с учетом действующих Правил пожарной безопасности в лесах, утвержденных постановлением Правительства РФ от 30.06.2007 № 417 « Об утверждении Правил пожарной безопасности в лесах» и Федерального закона от 21.12.1994 №69 «О пожарной безопасности».</w:t>
      </w:r>
    </w:p>
    <w:p>
      <w:pPr>
        <w:spacing w:line="240" w:lineRule="auto"/>
        <w:contextualSpacing/>
        <w:jc w:val="both"/>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ab/>
      </w:r>
    </w:p>
    <w:p>
      <w:pPr>
        <w:spacing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Мероприятия на первую очередь</w:t>
      </w:r>
    </w:p>
    <w:p>
      <w:pPr>
        <w:numPr>
          <w:ilvl w:val="0"/>
          <w:numId w:val="41"/>
        </w:numPr>
        <w:spacing w:after="0" w:line="240" w:lineRule="auto"/>
        <w:ind w:left="993" w:hanging="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создание локальных систем оповещения социально значимых объектов;</w:t>
      </w:r>
    </w:p>
    <w:p>
      <w:pPr>
        <w:numPr>
          <w:ilvl w:val="0"/>
          <w:numId w:val="41"/>
        </w:numPr>
        <w:spacing w:after="0" w:line="240" w:lineRule="auto"/>
        <w:ind w:left="993" w:hanging="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ремонт дорожного полотна.</w:t>
      </w:r>
    </w:p>
    <w:p>
      <w:pPr>
        <w:spacing w:line="240" w:lineRule="auto"/>
        <w:contextualSpacing/>
        <w:rPr>
          <w:rFonts w:ascii="Times New Roman" w:hAnsi="Times New Roman" w:eastAsia="Times New Roman" w:cs="Times New Roman"/>
          <w:sz w:val="24"/>
          <w:szCs w:val="24"/>
          <w:lang w:eastAsia="ru-RU"/>
        </w:rPr>
      </w:pPr>
    </w:p>
    <w:p>
      <w:pPr>
        <w:rPr>
          <w:rFonts w:ascii="Calibri" w:hAnsi="Calibri" w:eastAsia="Times New Roman" w:cs="Times New Roman"/>
          <w:lang w:eastAsia="ru-RU"/>
        </w:rPr>
      </w:pPr>
    </w:p>
    <w:p>
      <w:pPr>
        <w:keepNext/>
        <w:keepLines/>
        <w:spacing w:before="480" w:after="0" w:line="240" w:lineRule="auto"/>
        <w:contextualSpacing/>
        <w:outlineLvl w:val="0"/>
        <w:rPr>
          <w:rFonts w:ascii="Times New Roman" w:hAnsi="Times New Roman" w:eastAsia="Times New Roman" w:cs="Times New Roman"/>
          <w:b/>
          <w:bCs/>
          <w:sz w:val="24"/>
          <w:szCs w:val="24"/>
          <w:lang w:eastAsia="ru-RU"/>
        </w:rPr>
      </w:pPr>
      <w:bookmarkStart w:id="65" w:name="_Toc312171346"/>
      <w:bookmarkStart w:id="66" w:name="_Toc312174088"/>
      <w:r>
        <w:rPr>
          <w:rFonts w:ascii="Times New Roman" w:hAnsi="Times New Roman" w:eastAsia="Times New Roman" w:cs="Times New Roman"/>
          <w:b/>
          <w:bCs/>
          <w:sz w:val="24"/>
          <w:szCs w:val="24"/>
          <w:lang w:eastAsia="ru-RU"/>
        </w:rPr>
        <w:t>4. ПРЕДЛОЖЕНИЯ ПО ПЕРВООЧЕРЕДНОЙ РАЗРАБОТКЕ ДОКУМЕНТАЦИИ ТЕРРИТОРИАЛЬНОГО ПЛАНИРОВАНИЯ</w:t>
      </w:r>
      <w:bookmarkEnd w:id="65"/>
      <w:bookmarkEnd w:id="66"/>
    </w:p>
    <w:p>
      <w:pPr>
        <w:spacing w:line="240" w:lineRule="auto"/>
        <w:ind w:firstLine="709"/>
        <w:contextualSpacing/>
        <w:jc w:val="both"/>
        <w:rPr>
          <w:rFonts w:ascii="Times New Roman" w:hAnsi="Times New Roman" w:eastAsia="Times New Roman" w:cs="Times New Roman"/>
          <w:sz w:val="24"/>
          <w:szCs w:val="24"/>
          <w:lang w:eastAsia="ru-RU"/>
        </w:rPr>
      </w:pP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Проектные решения генерального плана Дмитриевского сельского поселения являются основанием для разработки документации по планировке территории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 Дмитриевского сельского поселения на период до конца расчетного срока являются основанием для размещения крупных объектов инженерной и транспортной инфраструктур, а также производственных зон.</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целях проектного обеспечения территориального развития Дмитриевского сельского поселения рекомендуется выполнение следующих первоочередных работ по разработке и принятию:</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Правил землепользования и застройки с разработкой карты (карт) градостроительного зонирования;</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проектов организации санитарно-защитных зон предприятий и коммунальных объектов;</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проектов зон охраны памятников истории и культуры (проекты должны быть разработаны на основе Федерального закона «Об объектах культурного наследия (памятниках истории и культуры) народов Российской Федерации» № 73-ФЗ от 25 июня 2002 года);</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проектов межевания для территорий, определяемых для развития строительства, в том числе для неиспользуемых для проживания жилых территориях в границах всех населённых пунктов поселения;</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проектов детальной планировки на участки территории поселения в местах планируемого строительства;</w:t>
      </w:r>
    </w:p>
    <w:p>
      <w:pPr>
        <w:spacing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разработка градостроительных планов земельных участков первоочередного строительства.</w:t>
      </w:r>
    </w:p>
    <w:p>
      <w:pPr>
        <w:rPr>
          <w:rFonts w:ascii="Calibri" w:hAnsi="Calibri" w:eastAsia="Times New Roman" w:cs="Times New Roman"/>
          <w:lang w:eastAsia="ru-RU"/>
        </w:rPr>
      </w:pPr>
    </w:p>
    <w:p>
      <w:pPr>
        <w:widowControl w:val="0"/>
        <w:autoSpaceDE w:val="0"/>
        <w:autoSpaceDN w:val="0"/>
        <w:ind w:right="216"/>
        <w:jc w:val="center"/>
        <w:rPr>
          <w:rFonts w:ascii="Calibri" w:hAnsi="Calibri" w:eastAsia="Times New Roman" w:cs="Times New Roman"/>
          <w:b/>
          <w:i/>
          <w:lang w:eastAsia="ru-RU"/>
        </w:rPr>
      </w:pPr>
    </w:p>
    <w:p>
      <w:pPr>
        <w:rPr>
          <w:rFonts w:ascii="Calibri" w:hAnsi="Calibri" w:eastAsia="Times New Roman" w:cs="Times New Roman"/>
          <w:lang w:eastAsia="ru-RU"/>
        </w:rPr>
      </w:pPr>
    </w:p>
    <w:p/>
    <w:sectPr>
      <w:headerReference r:id="rId3" w:type="default"/>
      <w:footerReference r:id="rId4" w:type="default"/>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Lucida Sans Unicode"/>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黑体">
    <w:altName w:val="Lucida Sans Unicode"/>
    <w:panose1 w:val="02010609060101010101"/>
    <w:charset w:val="86"/>
    <w:family w:val="modern"/>
    <w:pitch w:val="default"/>
    <w:sig w:usb0="800002BF" w:usb1="38CF7CFA" w:usb2="00000016" w:usb3="00000000" w:csb0="00040001"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86"/>
    <w:family w:val="swiss"/>
    <w:pitch w:val="default"/>
    <w:sig w:usb0="00000000" w:usb1="00000000" w:usb2="00000001" w:usb3="00000000" w:csb0="0000019F" w:csb1="00000000"/>
  </w:font>
  <w:font w:name="SimSun">
    <w:altName w:val="Lucida Sans Unicode"/>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OpenSymbol">
    <w:panose1 w:val="05010000000000000000"/>
    <w:charset w:val="00"/>
    <w:family w:val="auto"/>
    <w:pitch w:val="default"/>
    <w:sig w:usb0="800000AF" w:usb1="1001ECEA" w:usb2="00000000" w:usb3="00000000" w:csb0="00000001" w:csb1="00000000"/>
  </w:font>
  <w:font w:name="Arial">
    <w:panose1 w:val="020B0604020202020204"/>
    <w:charset w:val="CC"/>
    <w:family w:val="swiss"/>
    <w:pitch w:val="default"/>
    <w:sig w:usb0="00007A87" w:usb1="80000000" w:usb2="00000008" w:usb3="00000000" w:csb0="400001FF" w:csb1="FFFF0000"/>
  </w:font>
  <w:font w:name="Courier New">
    <w:panose1 w:val="02070309020205020404"/>
    <w:charset w:val="CC"/>
    <w:family w:val="modern"/>
    <w:pitch w:val="default"/>
    <w:sig w:usb0="00007A87" w:usb1="80000000" w:usb2="00000008" w:usb3="00000000" w:csb0="400001FF" w:csb1="FFFF0000"/>
  </w:font>
  <w:font w:name="Agency FB">
    <w:altName w:val="Shruti"/>
    <w:panose1 w:val="020B0503020202020204"/>
    <w:charset w:val="00"/>
    <w:family w:val="swiss"/>
    <w:pitch w:val="default"/>
    <w:sig w:usb0="00000000" w:usb1="00000000" w:usb2="00000000" w:usb3="00000000" w:csb0="00000001" w:csb1="00000000"/>
  </w:font>
  <w:font w:name="Tahoma">
    <w:panose1 w:val="020B0604030504040204"/>
    <w:charset w:val="00"/>
    <w:family w:val="swiss"/>
    <w:pitch w:val="default"/>
    <w:sig w:usb0="61007A87" w:usb1="80000000" w:usb2="00000008" w:usb3="00000000" w:csb0="200101FF" w:csb1="20280000"/>
  </w:font>
  <w:font w:name="Calibri">
    <w:altName w:val="Lucida Sans Unicode"/>
    <w:panose1 w:val="020F0502020204030204"/>
    <w:charset w:val="CC"/>
    <w:family w:val="swiss"/>
    <w:pitch w:val="default"/>
    <w:sig w:usb0="00000000" w:usb1="00000000" w:usb2="00000009" w:usb3="00000000" w:csb0="0000019F" w:csb1="00000000"/>
  </w:font>
  <w:font w:name="Cambria">
    <w:altName w:val="Shruti"/>
    <w:panose1 w:val="02040503050406030204"/>
    <w:charset w:val="CC"/>
    <w:family w:val="roman"/>
    <w:pitch w:val="default"/>
    <w:sig w:usb0="00000000" w:usb1="00000000" w:usb2="00000000" w:usb3="00000000" w:csb0="0000019F" w:csb1="00000000"/>
  </w:font>
  <w:font w:name="Arial Unicode MS">
    <w:altName w:val="Arial"/>
    <w:panose1 w:val="020B0604020202020204"/>
    <w:charset w:val="00"/>
    <w:family w:val="roman"/>
    <w:pitch w:val="default"/>
    <w:sig w:usb0="00000000" w:usb1="00000000" w:usb2="00000000" w:usb3="00000000" w:csb0="00000001" w:csb1="00000000"/>
  </w:font>
  <w:font w:name="Calibri">
    <w:altName w:val="Lucida Sans Unicode"/>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 w:name="Lucida Sans Unicode">
    <w:panose1 w:val="020B0602030504020204"/>
    <w:charset w:val="CC"/>
    <w:family w:val="swiss"/>
    <w:pitch w:val="default"/>
    <w:sig w:usb0="80001AFF" w:usb1="0000396B" w:usb2="00000000" w:usb3="00000000" w:csb0="0000003F" w:csb1="D7F70000"/>
  </w:font>
  <w:font w:name="Shruti">
    <w:panose1 w:val="02000500000000000000"/>
    <w:charset w:val="00"/>
    <w:family w:val="auto"/>
    <w:pitch w:val="default"/>
    <w:sig w:usb0="00040000" w:usb1="00000000" w:usb2="00000000" w:usb3="00000000" w:csb0="00000000" w:csb1="00000000"/>
  </w:font>
  <w:font w:name="Shruti">
    <w:panose1 w:val="02000500000000000000"/>
    <w:charset w:val="CC"/>
    <w:family w:val="roman"/>
    <w:pitch w:val="default"/>
    <w:sig w:usb0="0004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t>1</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thickThinSmallGap" w:color="622423" w:sz="24" w:space="1"/>
      </w:pBdr>
      <w:jc w:val="center"/>
      <w:rPr>
        <w:rFonts w:ascii="Cambria" w:hAnsi="Cambria"/>
        <w:sz w:val="32"/>
        <w:szCs w:val="32"/>
      </w:rPr>
    </w:pPr>
    <w:r>
      <w:rPr>
        <w:rFonts w:ascii="Times New Roman" w:hAnsi="Times New Roman"/>
        <w:sz w:val="24"/>
        <w:szCs w:val="24"/>
      </w:rPr>
      <w:t>Генеральный план Дмитриевского сельского поселения</w:t>
    </w:r>
  </w:p>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tentative="0">
      <w:start w:val="1"/>
      <w:numFmt w:val="decimal"/>
      <w:lvlText w:val="%1."/>
      <w:lvlJc w:val="left"/>
      <w:pPr>
        <w:tabs>
          <w:tab w:val="left" w:pos="0"/>
        </w:tabs>
        <w:ind w:left="1069" w:hanging="360"/>
      </w:pPr>
    </w:lvl>
  </w:abstractNum>
  <w:abstractNum w:abstractNumId="1">
    <w:nsid w:val="00000003"/>
    <w:multiLevelType w:val="multilevel"/>
    <w:tmpl w:val="00000003"/>
    <w:lvl w:ilvl="0" w:tentative="0">
      <w:start w:val="1"/>
      <w:numFmt w:val="bullet"/>
      <w:lvlText w:val=""/>
      <w:lvlJc w:val="left"/>
      <w:pPr>
        <w:tabs>
          <w:tab w:val="left" w:pos="720"/>
        </w:tabs>
        <w:ind w:left="720" w:hanging="360"/>
      </w:pPr>
      <w:rPr>
        <w:rFonts w:ascii="Symbol" w:hAnsi="Symbol" w:cs="OpenSymbol"/>
      </w:rPr>
    </w:lvl>
    <w:lvl w:ilvl="1" w:tentative="0">
      <w:start w:val="1"/>
      <w:numFmt w:val="bullet"/>
      <w:lvlText w:val=""/>
      <w:lvlJc w:val="left"/>
      <w:pPr>
        <w:tabs>
          <w:tab w:val="left" w:pos="1080"/>
        </w:tabs>
        <w:ind w:left="1080" w:hanging="360"/>
      </w:pPr>
      <w:rPr>
        <w:rFonts w:ascii="Symbol" w:hAnsi="Symbol" w:cs="OpenSymbol"/>
      </w:rPr>
    </w:lvl>
    <w:lvl w:ilvl="2" w:tentative="0">
      <w:start w:val="1"/>
      <w:numFmt w:val="bullet"/>
      <w:lvlText w:val=""/>
      <w:lvlJc w:val="left"/>
      <w:pPr>
        <w:tabs>
          <w:tab w:val="left" w:pos="1440"/>
        </w:tabs>
        <w:ind w:left="1440" w:hanging="360"/>
      </w:pPr>
      <w:rPr>
        <w:rFonts w:ascii="Symbol" w:hAnsi="Symbol" w:cs="OpenSymbol"/>
      </w:rPr>
    </w:lvl>
    <w:lvl w:ilvl="3" w:tentative="0">
      <w:start w:val="1"/>
      <w:numFmt w:val="bullet"/>
      <w:lvlText w:val=""/>
      <w:lvlJc w:val="left"/>
      <w:pPr>
        <w:tabs>
          <w:tab w:val="left" w:pos="1800"/>
        </w:tabs>
        <w:ind w:left="1800" w:hanging="360"/>
      </w:pPr>
      <w:rPr>
        <w:rFonts w:ascii="Symbol" w:hAnsi="Symbol" w:cs="OpenSymbol"/>
      </w:rPr>
    </w:lvl>
    <w:lvl w:ilvl="4" w:tentative="0">
      <w:start w:val="1"/>
      <w:numFmt w:val="bullet"/>
      <w:lvlText w:val=""/>
      <w:lvlJc w:val="left"/>
      <w:pPr>
        <w:tabs>
          <w:tab w:val="left" w:pos="2160"/>
        </w:tabs>
        <w:ind w:left="2160" w:hanging="360"/>
      </w:pPr>
      <w:rPr>
        <w:rFonts w:ascii="Symbol" w:hAnsi="Symbol" w:cs="OpenSymbol"/>
      </w:rPr>
    </w:lvl>
    <w:lvl w:ilvl="5" w:tentative="0">
      <w:start w:val="1"/>
      <w:numFmt w:val="bullet"/>
      <w:lvlText w:val=""/>
      <w:lvlJc w:val="left"/>
      <w:pPr>
        <w:tabs>
          <w:tab w:val="left" w:pos="2520"/>
        </w:tabs>
        <w:ind w:left="2520" w:hanging="360"/>
      </w:pPr>
      <w:rPr>
        <w:rFonts w:ascii="Symbol" w:hAnsi="Symbol" w:cs="OpenSymbol"/>
      </w:rPr>
    </w:lvl>
    <w:lvl w:ilvl="6" w:tentative="0">
      <w:start w:val="1"/>
      <w:numFmt w:val="bullet"/>
      <w:lvlText w:val=""/>
      <w:lvlJc w:val="left"/>
      <w:pPr>
        <w:tabs>
          <w:tab w:val="left" w:pos="2880"/>
        </w:tabs>
        <w:ind w:left="2880" w:hanging="360"/>
      </w:pPr>
      <w:rPr>
        <w:rFonts w:ascii="Symbol" w:hAnsi="Symbol" w:cs="OpenSymbol"/>
      </w:rPr>
    </w:lvl>
    <w:lvl w:ilvl="7" w:tentative="0">
      <w:start w:val="1"/>
      <w:numFmt w:val="bullet"/>
      <w:lvlText w:val=""/>
      <w:lvlJc w:val="left"/>
      <w:pPr>
        <w:tabs>
          <w:tab w:val="left" w:pos="3240"/>
        </w:tabs>
        <w:ind w:left="3240" w:hanging="360"/>
      </w:pPr>
      <w:rPr>
        <w:rFonts w:ascii="Symbol" w:hAnsi="Symbol" w:cs="OpenSymbol"/>
      </w:rPr>
    </w:lvl>
    <w:lvl w:ilvl="8" w:tentative="0">
      <w:start w:val="1"/>
      <w:numFmt w:val="bullet"/>
      <w:lvlText w:val=""/>
      <w:lvlJc w:val="left"/>
      <w:pPr>
        <w:tabs>
          <w:tab w:val="left" w:pos="3600"/>
        </w:tabs>
        <w:ind w:left="3600" w:hanging="360"/>
      </w:pPr>
      <w:rPr>
        <w:rFonts w:ascii="Symbol" w:hAnsi="Symbol" w:cs="OpenSymbol"/>
      </w:rPr>
    </w:lvl>
  </w:abstractNum>
  <w:abstractNum w:abstractNumId="2">
    <w:nsid w:val="00000004"/>
    <w:multiLevelType w:val="singleLevel"/>
    <w:tmpl w:val="00000004"/>
    <w:lvl w:ilvl="0" w:tentative="0">
      <w:start w:val="1"/>
      <w:numFmt w:val="bullet"/>
      <w:lvlText w:val=""/>
      <w:lvlJc w:val="left"/>
      <w:pPr>
        <w:tabs>
          <w:tab w:val="left" w:pos="1440"/>
        </w:tabs>
        <w:ind w:left="1440" w:hanging="360"/>
      </w:pPr>
      <w:rPr>
        <w:rFonts w:ascii="Wingdings" w:hAnsi="Wingdings" w:cs="Times New Roman"/>
      </w:rPr>
    </w:lvl>
  </w:abstractNum>
  <w:abstractNum w:abstractNumId="3">
    <w:nsid w:val="00000007"/>
    <w:multiLevelType w:val="multilevel"/>
    <w:tmpl w:val="00000007"/>
    <w:lvl w:ilvl="0" w:tentative="0">
      <w:start w:val="1"/>
      <w:numFmt w:val="bullet"/>
      <w:lvlText w:val=""/>
      <w:lvlJc w:val="left"/>
      <w:pPr>
        <w:tabs>
          <w:tab w:val="left" w:pos="720"/>
        </w:tabs>
      </w:pPr>
      <w:rPr>
        <w:rFonts w:ascii="Symbol" w:hAnsi="Symbol" w:cs="OpenSymbol"/>
      </w:rPr>
    </w:lvl>
    <w:lvl w:ilvl="1" w:tentative="0">
      <w:start w:val="1"/>
      <w:numFmt w:val="bullet"/>
      <w:lvlText w:val="◦"/>
      <w:lvlJc w:val="left"/>
      <w:pPr>
        <w:tabs>
          <w:tab w:val="left" w:pos="1080"/>
        </w:tabs>
      </w:pPr>
      <w:rPr>
        <w:rFonts w:ascii="OpenSymbol" w:hAnsi="OpenSymbol" w:cs="OpenSymbol"/>
      </w:rPr>
    </w:lvl>
    <w:lvl w:ilvl="2" w:tentative="0">
      <w:start w:val="1"/>
      <w:numFmt w:val="bullet"/>
      <w:lvlText w:val="▪"/>
      <w:lvlJc w:val="left"/>
      <w:pPr>
        <w:tabs>
          <w:tab w:val="left" w:pos="1440"/>
        </w:tabs>
      </w:pPr>
      <w:rPr>
        <w:rFonts w:ascii="OpenSymbol" w:hAnsi="OpenSymbol" w:cs="OpenSymbol"/>
      </w:rPr>
    </w:lvl>
    <w:lvl w:ilvl="3" w:tentative="0">
      <w:start w:val="1"/>
      <w:numFmt w:val="bullet"/>
      <w:lvlText w:val=""/>
      <w:lvlJc w:val="left"/>
      <w:pPr>
        <w:tabs>
          <w:tab w:val="left" w:pos="1800"/>
        </w:tabs>
      </w:pPr>
      <w:rPr>
        <w:rFonts w:ascii="Symbol" w:hAnsi="Symbol" w:cs="OpenSymbol"/>
      </w:rPr>
    </w:lvl>
    <w:lvl w:ilvl="4" w:tentative="0">
      <w:start w:val="1"/>
      <w:numFmt w:val="bullet"/>
      <w:lvlText w:val="◦"/>
      <w:lvlJc w:val="left"/>
      <w:pPr>
        <w:tabs>
          <w:tab w:val="left" w:pos="2160"/>
        </w:tabs>
      </w:pPr>
      <w:rPr>
        <w:rFonts w:ascii="OpenSymbol" w:hAnsi="OpenSymbol" w:cs="OpenSymbol"/>
      </w:rPr>
    </w:lvl>
    <w:lvl w:ilvl="5" w:tentative="0">
      <w:start w:val="1"/>
      <w:numFmt w:val="bullet"/>
      <w:lvlText w:val="▪"/>
      <w:lvlJc w:val="left"/>
      <w:pPr>
        <w:tabs>
          <w:tab w:val="left" w:pos="2520"/>
        </w:tabs>
      </w:pPr>
      <w:rPr>
        <w:rFonts w:ascii="OpenSymbol" w:hAnsi="OpenSymbol" w:cs="OpenSymbol"/>
      </w:rPr>
    </w:lvl>
    <w:lvl w:ilvl="6" w:tentative="0">
      <w:start w:val="1"/>
      <w:numFmt w:val="bullet"/>
      <w:lvlText w:val=""/>
      <w:lvlJc w:val="left"/>
      <w:pPr>
        <w:tabs>
          <w:tab w:val="left" w:pos="2880"/>
        </w:tabs>
      </w:pPr>
      <w:rPr>
        <w:rFonts w:ascii="Symbol" w:hAnsi="Symbol" w:cs="OpenSymbol"/>
      </w:rPr>
    </w:lvl>
    <w:lvl w:ilvl="7" w:tentative="0">
      <w:start w:val="1"/>
      <w:numFmt w:val="bullet"/>
      <w:lvlText w:val="◦"/>
      <w:lvlJc w:val="left"/>
      <w:pPr>
        <w:tabs>
          <w:tab w:val="left" w:pos="3240"/>
        </w:tabs>
      </w:pPr>
      <w:rPr>
        <w:rFonts w:ascii="OpenSymbol" w:hAnsi="OpenSymbol" w:cs="OpenSymbol"/>
      </w:rPr>
    </w:lvl>
    <w:lvl w:ilvl="8" w:tentative="0">
      <w:start w:val="1"/>
      <w:numFmt w:val="bullet"/>
      <w:lvlText w:val="▪"/>
      <w:lvlJc w:val="left"/>
      <w:pPr>
        <w:tabs>
          <w:tab w:val="left" w:pos="3600"/>
        </w:tabs>
      </w:pPr>
      <w:rPr>
        <w:rFonts w:ascii="OpenSymbol" w:hAnsi="OpenSymbol" w:cs="OpenSymbol"/>
      </w:rPr>
    </w:lvl>
  </w:abstractNum>
  <w:abstractNum w:abstractNumId="4">
    <w:nsid w:val="00000009"/>
    <w:multiLevelType w:val="multilevel"/>
    <w:tmpl w:val="00000009"/>
    <w:lvl w:ilvl="0" w:tentative="0">
      <w:start w:val="1"/>
      <w:numFmt w:val="decimal"/>
      <w:lvlText w:val="%1."/>
      <w:lvlJc w:val="left"/>
      <w:pPr>
        <w:tabs>
          <w:tab w:val="left" w:pos="1855"/>
        </w:tabs>
      </w:pPr>
    </w:lvl>
    <w:lvl w:ilvl="1" w:tentative="0">
      <w:start w:val="1"/>
      <w:numFmt w:val="decimal"/>
      <w:lvlText w:val="%2."/>
      <w:lvlJc w:val="left"/>
      <w:pPr>
        <w:tabs>
          <w:tab w:val="left" w:pos="1080"/>
        </w:tabs>
      </w:pPr>
    </w:lvl>
    <w:lvl w:ilvl="2" w:tentative="0">
      <w:start w:val="1"/>
      <w:numFmt w:val="decimal"/>
      <w:lvlText w:val="%3."/>
      <w:lvlJc w:val="left"/>
      <w:pPr>
        <w:tabs>
          <w:tab w:val="left" w:pos="1440"/>
        </w:tabs>
      </w:pPr>
    </w:lvl>
    <w:lvl w:ilvl="3" w:tentative="0">
      <w:start w:val="1"/>
      <w:numFmt w:val="decimal"/>
      <w:lvlText w:val="%4."/>
      <w:lvlJc w:val="left"/>
      <w:pPr>
        <w:tabs>
          <w:tab w:val="left" w:pos="1800"/>
        </w:tabs>
      </w:pPr>
    </w:lvl>
    <w:lvl w:ilvl="4" w:tentative="0">
      <w:start w:val="1"/>
      <w:numFmt w:val="decimal"/>
      <w:lvlText w:val="%5."/>
      <w:lvlJc w:val="left"/>
      <w:pPr>
        <w:tabs>
          <w:tab w:val="left" w:pos="2160"/>
        </w:tabs>
      </w:pPr>
    </w:lvl>
    <w:lvl w:ilvl="5" w:tentative="0">
      <w:start w:val="1"/>
      <w:numFmt w:val="decimal"/>
      <w:lvlText w:val="%6."/>
      <w:lvlJc w:val="left"/>
      <w:pPr>
        <w:tabs>
          <w:tab w:val="left" w:pos="2520"/>
        </w:tabs>
      </w:pPr>
    </w:lvl>
    <w:lvl w:ilvl="6" w:tentative="0">
      <w:start w:val="1"/>
      <w:numFmt w:val="decimal"/>
      <w:lvlText w:val="%7."/>
      <w:lvlJc w:val="left"/>
      <w:pPr>
        <w:tabs>
          <w:tab w:val="left" w:pos="2880"/>
        </w:tabs>
      </w:pPr>
    </w:lvl>
    <w:lvl w:ilvl="7" w:tentative="0">
      <w:start w:val="1"/>
      <w:numFmt w:val="decimal"/>
      <w:lvlText w:val="%8."/>
      <w:lvlJc w:val="left"/>
      <w:pPr>
        <w:tabs>
          <w:tab w:val="left" w:pos="3240"/>
        </w:tabs>
      </w:pPr>
    </w:lvl>
    <w:lvl w:ilvl="8" w:tentative="0">
      <w:start w:val="1"/>
      <w:numFmt w:val="decimal"/>
      <w:lvlText w:val="%9."/>
      <w:lvlJc w:val="left"/>
      <w:pPr>
        <w:tabs>
          <w:tab w:val="left" w:pos="3600"/>
        </w:tabs>
      </w:pPr>
    </w:lvl>
  </w:abstractNum>
  <w:abstractNum w:abstractNumId="5">
    <w:nsid w:val="00000013"/>
    <w:multiLevelType w:val="multilevel"/>
    <w:tmpl w:val="00000013"/>
    <w:lvl w:ilvl="0" w:tentative="0">
      <w:start w:val="1"/>
      <w:numFmt w:val="bullet"/>
      <w:lvlText w:val=""/>
      <w:lvlJc w:val="left"/>
      <w:pPr>
        <w:tabs>
          <w:tab w:val="left" w:pos="720"/>
        </w:tabs>
      </w:pPr>
      <w:rPr>
        <w:rFonts w:ascii="Symbol" w:hAnsi="Symbol" w:cs="OpenSymbol"/>
      </w:rPr>
    </w:lvl>
    <w:lvl w:ilvl="1" w:tentative="0">
      <w:start w:val="1"/>
      <w:numFmt w:val="bullet"/>
      <w:lvlText w:val=""/>
      <w:lvlJc w:val="left"/>
      <w:pPr>
        <w:tabs>
          <w:tab w:val="left" w:pos="1080"/>
        </w:tabs>
      </w:pPr>
      <w:rPr>
        <w:rFonts w:ascii="Symbol" w:hAnsi="Symbol" w:cs="OpenSymbol"/>
      </w:rPr>
    </w:lvl>
    <w:lvl w:ilvl="2" w:tentative="0">
      <w:start w:val="1"/>
      <w:numFmt w:val="bullet"/>
      <w:lvlText w:val=""/>
      <w:lvlJc w:val="left"/>
      <w:pPr>
        <w:tabs>
          <w:tab w:val="left" w:pos="1440"/>
        </w:tabs>
      </w:pPr>
      <w:rPr>
        <w:rFonts w:ascii="Symbol" w:hAnsi="Symbol" w:cs="OpenSymbol"/>
      </w:rPr>
    </w:lvl>
    <w:lvl w:ilvl="3" w:tentative="0">
      <w:start w:val="1"/>
      <w:numFmt w:val="bullet"/>
      <w:lvlText w:val=""/>
      <w:lvlJc w:val="left"/>
      <w:pPr>
        <w:tabs>
          <w:tab w:val="left" w:pos="1800"/>
        </w:tabs>
      </w:pPr>
      <w:rPr>
        <w:rFonts w:ascii="Symbol" w:hAnsi="Symbol" w:cs="OpenSymbol"/>
      </w:rPr>
    </w:lvl>
    <w:lvl w:ilvl="4" w:tentative="0">
      <w:start w:val="1"/>
      <w:numFmt w:val="bullet"/>
      <w:lvlText w:val=""/>
      <w:lvlJc w:val="left"/>
      <w:pPr>
        <w:tabs>
          <w:tab w:val="left" w:pos="2160"/>
        </w:tabs>
      </w:pPr>
      <w:rPr>
        <w:rFonts w:ascii="Symbol" w:hAnsi="Symbol" w:cs="OpenSymbol"/>
      </w:rPr>
    </w:lvl>
    <w:lvl w:ilvl="5" w:tentative="0">
      <w:start w:val="1"/>
      <w:numFmt w:val="bullet"/>
      <w:lvlText w:val=""/>
      <w:lvlJc w:val="left"/>
      <w:pPr>
        <w:tabs>
          <w:tab w:val="left" w:pos="2520"/>
        </w:tabs>
      </w:pPr>
      <w:rPr>
        <w:rFonts w:ascii="Symbol" w:hAnsi="Symbol" w:cs="OpenSymbol"/>
      </w:rPr>
    </w:lvl>
    <w:lvl w:ilvl="6" w:tentative="0">
      <w:start w:val="1"/>
      <w:numFmt w:val="bullet"/>
      <w:lvlText w:val=""/>
      <w:lvlJc w:val="left"/>
      <w:pPr>
        <w:tabs>
          <w:tab w:val="left" w:pos="2880"/>
        </w:tabs>
      </w:pPr>
      <w:rPr>
        <w:rFonts w:ascii="Symbol" w:hAnsi="Symbol" w:cs="OpenSymbol"/>
      </w:rPr>
    </w:lvl>
    <w:lvl w:ilvl="7" w:tentative="0">
      <w:start w:val="1"/>
      <w:numFmt w:val="bullet"/>
      <w:lvlText w:val=""/>
      <w:lvlJc w:val="left"/>
      <w:pPr>
        <w:tabs>
          <w:tab w:val="left" w:pos="3240"/>
        </w:tabs>
      </w:pPr>
      <w:rPr>
        <w:rFonts w:ascii="Symbol" w:hAnsi="Symbol" w:cs="OpenSymbol"/>
      </w:rPr>
    </w:lvl>
    <w:lvl w:ilvl="8" w:tentative="0">
      <w:start w:val="1"/>
      <w:numFmt w:val="bullet"/>
      <w:lvlText w:val=""/>
      <w:lvlJc w:val="left"/>
      <w:pPr>
        <w:tabs>
          <w:tab w:val="left" w:pos="3600"/>
        </w:tabs>
      </w:pPr>
      <w:rPr>
        <w:rFonts w:ascii="Symbol" w:hAnsi="Symbol" w:cs="OpenSymbol"/>
      </w:rPr>
    </w:lvl>
  </w:abstractNum>
  <w:abstractNum w:abstractNumId="6">
    <w:nsid w:val="0000001B"/>
    <w:multiLevelType w:val="multilevel"/>
    <w:tmpl w:val="0000001B"/>
    <w:lvl w:ilvl="0" w:tentative="0">
      <w:start w:val="1"/>
      <w:numFmt w:val="bullet"/>
      <w:lvlText w:val=""/>
      <w:lvlJc w:val="left"/>
      <w:pPr>
        <w:tabs>
          <w:tab w:val="left" w:pos="720"/>
        </w:tabs>
      </w:pPr>
      <w:rPr>
        <w:rFonts w:ascii="Symbol" w:hAnsi="Symbol" w:cs="OpenSymbol"/>
      </w:rPr>
    </w:lvl>
    <w:lvl w:ilvl="1" w:tentative="0">
      <w:start w:val="1"/>
      <w:numFmt w:val="bullet"/>
      <w:lvlText w:val=""/>
      <w:lvlJc w:val="left"/>
      <w:pPr>
        <w:tabs>
          <w:tab w:val="left" w:pos="1080"/>
        </w:tabs>
      </w:pPr>
      <w:rPr>
        <w:rFonts w:ascii="Symbol" w:hAnsi="Symbol" w:cs="OpenSymbol"/>
      </w:rPr>
    </w:lvl>
    <w:lvl w:ilvl="2" w:tentative="0">
      <w:start w:val="1"/>
      <w:numFmt w:val="bullet"/>
      <w:lvlText w:val=""/>
      <w:lvlJc w:val="left"/>
      <w:pPr>
        <w:tabs>
          <w:tab w:val="left" w:pos="1440"/>
        </w:tabs>
      </w:pPr>
      <w:rPr>
        <w:rFonts w:ascii="Symbol" w:hAnsi="Symbol" w:cs="OpenSymbol"/>
      </w:rPr>
    </w:lvl>
    <w:lvl w:ilvl="3" w:tentative="0">
      <w:start w:val="1"/>
      <w:numFmt w:val="bullet"/>
      <w:lvlText w:val=""/>
      <w:lvlJc w:val="left"/>
      <w:pPr>
        <w:tabs>
          <w:tab w:val="left" w:pos="1800"/>
        </w:tabs>
      </w:pPr>
      <w:rPr>
        <w:rFonts w:ascii="Symbol" w:hAnsi="Symbol" w:cs="OpenSymbol"/>
      </w:rPr>
    </w:lvl>
    <w:lvl w:ilvl="4" w:tentative="0">
      <w:start w:val="1"/>
      <w:numFmt w:val="bullet"/>
      <w:lvlText w:val=""/>
      <w:lvlJc w:val="left"/>
      <w:pPr>
        <w:tabs>
          <w:tab w:val="left" w:pos="2160"/>
        </w:tabs>
      </w:pPr>
      <w:rPr>
        <w:rFonts w:ascii="Symbol" w:hAnsi="Symbol" w:cs="OpenSymbol"/>
      </w:rPr>
    </w:lvl>
    <w:lvl w:ilvl="5" w:tentative="0">
      <w:start w:val="1"/>
      <w:numFmt w:val="bullet"/>
      <w:lvlText w:val=""/>
      <w:lvlJc w:val="left"/>
      <w:pPr>
        <w:tabs>
          <w:tab w:val="left" w:pos="2520"/>
        </w:tabs>
      </w:pPr>
      <w:rPr>
        <w:rFonts w:ascii="Symbol" w:hAnsi="Symbol" w:cs="OpenSymbol"/>
      </w:rPr>
    </w:lvl>
    <w:lvl w:ilvl="6" w:tentative="0">
      <w:start w:val="1"/>
      <w:numFmt w:val="bullet"/>
      <w:lvlText w:val=""/>
      <w:lvlJc w:val="left"/>
      <w:pPr>
        <w:tabs>
          <w:tab w:val="left" w:pos="2880"/>
        </w:tabs>
      </w:pPr>
      <w:rPr>
        <w:rFonts w:ascii="Symbol" w:hAnsi="Symbol" w:cs="OpenSymbol"/>
      </w:rPr>
    </w:lvl>
    <w:lvl w:ilvl="7" w:tentative="0">
      <w:start w:val="1"/>
      <w:numFmt w:val="bullet"/>
      <w:lvlText w:val=""/>
      <w:lvlJc w:val="left"/>
      <w:pPr>
        <w:tabs>
          <w:tab w:val="left" w:pos="3240"/>
        </w:tabs>
      </w:pPr>
      <w:rPr>
        <w:rFonts w:ascii="Symbol" w:hAnsi="Symbol" w:cs="OpenSymbol"/>
      </w:rPr>
    </w:lvl>
    <w:lvl w:ilvl="8" w:tentative="0">
      <w:start w:val="1"/>
      <w:numFmt w:val="bullet"/>
      <w:lvlText w:val=""/>
      <w:lvlJc w:val="left"/>
      <w:pPr>
        <w:tabs>
          <w:tab w:val="left" w:pos="3600"/>
        </w:tabs>
      </w:pPr>
      <w:rPr>
        <w:rFonts w:ascii="Symbol" w:hAnsi="Symbol" w:cs="OpenSymbol"/>
      </w:rPr>
    </w:lvl>
  </w:abstractNum>
  <w:abstractNum w:abstractNumId="7">
    <w:nsid w:val="0000002B"/>
    <w:multiLevelType w:val="multilevel"/>
    <w:tmpl w:val="0000002B"/>
    <w:lvl w:ilvl="0" w:tentative="0">
      <w:start w:val="1"/>
      <w:numFmt w:val="bullet"/>
      <w:lvlText w:val="■"/>
      <w:lvlJc w:val="left"/>
      <w:rPr>
        <w:rFonts w:ascii="Arial" w:hAnsi="Arial" w:cs="Arial"/>
        <w:b/>
        <w:bCs/>
        <w:i w:val="0"/>
        <w:iCs w:val="0"/>
        <w:smallCaps w:val="0"/>
        <w:strike w:val="0"/>
        <w:color w:val="000000"/>
        <w:spacing w:val="0"/>
        <w:w w:val="100"/>
        <w:position w:val="0"/>
        <w:sz w:val="15"/>
        <w:szCs w:val="15"/>
        <w:u w:val="none"/>
      </w:rPr>
    </w:lvl>
    <w:lvl w:ilvl="1" w:tentative="0">
      <w:start w:val="1"/>
      <w:numFmt w:val="decimal"/>
      <w:lvlText w:val="%2."/>
      <w:lvlJc w:val="left"/>
      <w:rPr>
        <w:rFonts w:hint="default" w:ascii="Times New Roman" w:hAnsi="Times New Roman" w:cs="Times New Roman"/>
        <w:b w:val="0"/>
        <w:bCs w:val="0"/>
        <w:i w:val="0"/>
        <w:iCs w:val="0"/>
        <w:smallCaps w:val="0"/>
        <w:strike w:val="0"/>
        <w:color w:val="000000"/>
        <w:spacing w:val="0"/>
        <w:w w:val="100"/>
        <w:position w:val="0"/>
        <w:sz w:val="28"/>
        <w:szCs w:val="28"/>
        <w:u w:val="none"/>
      </w:rPr>
    </w:lvl>
    <w:lvl w:ilvl="2"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3"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4"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5"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6"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7"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lvl w:ilvl="8" w:tentative="0">
      <w:start w:val="1"/>
      <w:numFmt w:val="decimal"/>
      <w:lvlText w:val="%3."/>
      <w:lvlJc w:val="left"/>
      <w:rPr>
        <w:rFonts w:ascii="Arial" w:hAnsi="Arial" w:cs="Arial"/>
        <w:b w:val="0"/>
        <w:bCs w:val="0"/>
        <w:i w:val="0"/>
        <w:iCs w:val="0"/>
        <w:smallCaps w:val="0"/>
        <w:strike w:val="0"/>
        <w:color w:val="000000"/>
        <w:spacing w:val="0"/>
        <w:w w:val="100"/>
        <w:position w:val="0"/>
        <w:sz w:val="15"/>
        <w:szCs w:val="15"/>
        <w:u w:val="none"/>
      </w:rPr>
    </w:lvl>
  </w:abstractNum>
  <w:abstractNum w:abstractNumId="8">
    <w:nsid w:val="0DE42476"/>
    <w:multiLevelType w:val="multilevel"/>
    <w:tmpl w:val="0DE42476"/>
    <w:lvl w:ilvl="0" w:tentative="0">
      <w:start w:val="2"/>
      <w:numFmt w:val="decimal"/>
      <w:lvlText w:val="%1."/>
      <w:lvlJc w:val="left"/>
      <w:pPr>
        <w:ind w:left="450" w:hanging="450"/>
      </w:pPr>
      <w:rPr>
        <w:rFonts w:hint="default"/>
      </w:rPr>
    </w:lvl>
    <w:lvl w:ilvl="1" w:tentative="0">
      <w:start w:val="5"/>
      <w:numFmt w:val="decimal"/>
      <w:lvlText w:val="%1.%2."/>
      <w:lvlJc w:val="left"/>
      <w:pPr>
        <w:ind w:left="1080" w:hanging="72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2160" w:hanging="108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3240" w:hanging="1440"/>
      </w:pPr>
      <w:rPr>
        <w:rFonts w:hint="default"/>
      </w:rPr>
    </w:lvl>
    <w:lvl w:ilvl="6" w:tentative="0">
      <w:start w:val="1"/>
      <w:numFmt w:val="decimal"/>
      <w:lvlText w:val="%1.%2.%3.%4.%5.%6.%7."/>
      <w:lvlJc w:val="left"/>
      <w:pPr>
        <w:ind w:left="3960" w:hanging="1800"/>
      </w:pPr>
      <w:rPr>
        <w:rFonts w:hint="default"/>
      </w:rPr>
    </w:lvl>
    <w:lvl w:ilvl="7" w:tentative="0">
      <w:start w:val="1"/>
      <w:numFmt w:val="decimal"/>
      <w:lvlText w:val="%1.%2.%3.%4.%5.%6.%7.%8."/>
      <w:lvlJc w:val="left"/>
      <w:pPr>
        <w:ind w:left="4320" w:hanging="1800"/>
      </w:pPr>
      <w:rPr>
        <w:rFonts w:hint="default"/>
      </w:rPr>
    </w:lvl>
    <w:lvl w:ilvl="8" w:tentative="0">
      <w:start w:val="1"/>
      <w:numFmt w:val="decimal"/>
      <w:lvlText w:val="%1.%2.%3.%4.%5.%6.%7.%8.%9."/>
      <w:lvlJc w:val="left"/>
      <w:pPr>
        <w:ind w:left="5040" w:hanging="2160"/>
      </w:pPr>
      <w:rPr>
        <w:rFonts w:hint="default"/>
      </w:rPr>
    </w:lvl>
  </w:abstractNum>
  <w:abstractNum w:abstractNumId="9">
    <w:nsid w:val="11B03754"/>
    <w:multiLevelType w:val="multilevel"/>
    <w:tmpl w:val="11B03754"/>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0">
    <w:nsid w:val="12A57418"/>
    <w:multiLevelType w:val="multilevel"/>
    <w:tmpl w:val="12A5741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1">
    <w:nsid w:val="137C2AB8"/>
    <w:multiLevelType w:val="multilevel"/>
    <w:tmpl w:val="137C2AB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2">
    <w:nsid w:val="14605EBC"/>
    <w:multiLevelType w:val="multilevel"/>
    <w:tmpl w:val="14605EBC"/>
    <w:lvl w:ilvl="0" w:tentative="0">
      <w:start w:val="2"/>
      <w:numFmt w:val="decimal"/>
      <w:lvlText w:val="%1."/>
      <w:lvlJc w:val="left"/>
      <w:pPr>
        <w:ind w:left="540" w:hanging="540"/>
      </w:pPr>
      <w:rPr>
        <w:rFonts w:hint="default"/>
      </w:rPr>
    </w:lvl>
    <w:lvl w:ilvl="1" w:tentative="0">
      <w:start w:val="1"/>
      <w:numFmt w:val="decimal"/>
      <w:lvlText w:val="%1.%2."/>
      <w:lvlJc w:val="left"/>
      <w:pPr>
        <w:ind w:left="720" w:hanging="540"/>
      </w:pPr>
      <w:rPr>
        <w:rFonts w:hint="default"/>
      </w:rPr>
    </w:lvl>
    <w:lvl w:ilvl="2" w:tentative="0">
      <w:start w:val="1"/>
      <w:numFmt w:val="decimal"/>
      <w:lvlText w:val="%1.%2.%3."/>
      <w:lvlJc w:val="left"/>
      <w:pPr>
        <w:ind w:left="1080" w:hanging="720"/>
      </w:pPr>
      <w:rPr>
        <w:rFonts w:hint="default"/>
      </w:rPr>
    </w:lvl>
    <w:lvl w:ilvl="3" w:tentative="0">
      <w:start w:val="1"/>
      <w:numFmt w:val="decimal"/>
      <w:lvlText w:val="%1.%2.%3.%4."/>
      <w:lvlJc w:val="left"/>
      <w:pPr>
        <w:ind w:left="1260" w:hanging="720"/>
      </w:pPr>
      <w:rPr>
        <w:rFonts w:hint="default"/>
      </w:rPr>
    </w:lvl>
    <w:lvl w:ilvl="4" w:tentative="0">
      <w:start w:val="1"/>
      <w:numFmt w:val="decimal"/>
      <w:lvlText w:val="%1.%2.%3.%4.%5."/>
      <w:lvlJc w:val="left"/>
      <w:pPr>
        <w:ind w:left="1800" w:hanging="1080"/>
      </w:pPr>
      <w:rPr>
        <w:rFonts w:hint="default"/>
      </w:rPr>
    </w:lvl>
    <w:lvl w:ilvl="5" w:tentative="0">
      <w:start w:val="1"/>
      <w:numFmt w:val="decimal"/>
      <w:lvlText w:val="%1.%2.%3.%4.%5.%6."/>
      <w:lvlJc w:val="left"/>
      <w:pPr>
        <w:ind w:left="1980" w:hanging="1080"/>
      </w:pPr>
      <w:rPr>
        <w:rFonts w:hint="default"/>
      </w:rPr>
    </w:lvl>
    <w:lvl w:ilvl="6" w:tentative="0">
      <w:start w:val="1"/>
      <w:numFmt w:val="decimal"/>
      <w:lvlText w:val="%1.%2.%3.%4.%5.%6.%7."/>
      <w:lvlJc w:val="left"/>
      <w:pPr>
        <w:ind w:left="2520" w:hanging="1440"/>
      </w:pPr>
      <w:rPr>
        <w:rFonts w:hint="default"/>
      </w:rPr>
    </w:lvl>
    <w:lvl w:ilvl="7" w:tentative="0">
      <w:start w:val="1"/>
      <w:numFmt w:val="decimal"/>
      <w:lvlText w:val="%1.%2.%3.%4.%5.%6.%7.%8."/>
      <w:lvlJc w:val="left"/>
      <w:pPr>
        <w:ind w:left="2700" w:hanging="1440"/>
      </w:pPr>
      <w:rPr>
        <w:rFonts w:hint="default"/>
      </w:rPr>
    </w:lvl>
    <w:lvl w:ilvl="8" w:tentative="0">
      <w:start w:val="1"/>
      <w:numFmt w:val="decimal"/>
      <w:lvlText w:val="%1.%2.%3.%4.%5.%6.%7.%8.%9."/>
      <w:lvlJc w:val="left"/>
      <w:pPr>
        <w:ind w:left="3240" w:hanging="1800"/>
      </w:pPr>
      <w:rPr>
        <w:rFonts w:hint="default"/>
      </w:rPr>
    </w:lvl>
  </w:abstractNum>
  <w:abstractNum w:abstractNumId="13">
    <w:nsid w:val="15410D4F"/>
    <w:multiLevelType w:val="multilevel"/>
    <w:tmpl w:val="15410D4F"/>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15F87E20"/>
    <w:multiLevelType w:val="multilevel"/>
    <w:tmpl w:val="15F87E20"/>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1BCA46FC"/>
    <w:multiLevelType w:val="multilevel"/>
    <w:tmpl w:val="1BCA46FC"/>
    <w:lvl w:ilvl="0" w:tentative="0">
      <w:start w:val="65535"/>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1E9C069E"/>
    <w:multiLevelType w:val="multilevel"/>
    <w:tmpl w:val="1E9C069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294C10DE"/>
    <w:multiLevelType w:val="multilevel"/>
    <w:tmpl w:val="294C10DE"/>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2A0658B8"/>
    <w:multiLevelType w:val="multilevel"/>
    <w:tmpl w:val="2A0658B8"/>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9">
    <w:nsid w:val="2D9C7B12"/>
    <w:multiLevelType w:val="multilevel"/>
    <w:tmpl w:val="2D9C7B12"/>
    <w:lvl w:ilvl="0" w:tentative="0">
      <w:start w:val="1"/>
      <w:numFmt w:val="bullet"/>
      <w:lvlText w:val="−"/>
      <w:lvlJc w:val="left"/>
      <w:pPr>
        <w:tabs>
          <w:tab w:val="left" w:pos="720"/>
        </w:tabs>
        <w:ind w:left="720" w:hanging="360"/>
      </w:pPr>
      <w:rPr>
        <w:rFonts w:hint="default" w:ascii="Agency FB" w:hAnsi="Agency FB"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0">
    <w:nsid w:val="301A1F7B"/>
    <w:multiLevelType w:val="multilevel"/>
    <w:tmpl w:val="301A1F7B"/>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1">
    <w:nsid w:val="30F72C84"/>
    <w:multiLevelType w:val="multilevel"/>
    <w:tmpl w:val="30F72C84"/>
    <w:lvl w:ilvl="0" w:tentative="0">
      <w:start w:val="3"/>
      <w:numFmt w:val="decimal"/>
      <w:lvlText w:val="%1."/>
      <w:lvlJc w:val="left"/>
      <w:pPr>
        <w:ind w:left="540" w:hanging="540"/>
      </w:pPr>
      <w:rPr>
        <w:rFonts w:hint="default"/>
      </w:rPr>
    </w:lvl>
    <w:lvl w:ilvl="1" w:tentative="0">
      <w:start w:val="2"/>
      <w:numFmt w:val="decimal"/>
      <w:lvlText w:val="%1.%2."/>
      <w:lvlJc w:val="left"/>
      <w:pPr>
        <w:ind w:left="540" w:hanging="54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2">
    <w:nsid w:val="316D6649"/>
    <w:multiLevelType w:val="multilevel"/>
    <w:tmpl w:val="316D664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3">
    <w:nsid w:val="3416792A"/>
    <w:multiLevelType w:val="multilevel"/>
    <w:tmpl w:val="3416792A"/>
    <w:lvl w:ilvl="0" w:tentative="0">
      <w:start w:val="1"/>
      <w:numFmt w:val="decimal"/>
      <w:lvlText w:val="%1)"/>
      <w:lvlJc w:val="left"/>
      <w:pPr>
        <w:ind w:left="785" w:hanging="360"/>
      </w:pPr>
      <w:rPr>
        <w:rFonts w:hint="default"/>
      </w:rPr>
    </w:lvl>
    <w:lvl w:ilvl="1" w:tentative="0">
      <w:start w:val="1"/>
      <w:numFmt w:val="lowerLetter"/>
      <w:lvlText w:val="%2."/>
      <w:lvlJc w:val="left"/>
      <w:pPr>
        <w:ind w:left="1505" w:hanging="360"/>
      </w:pPr>
    </w:lvl>
    <w:lvl w:ilvl="2" w:tentative="0">
      <w:start w:val="1"/>
      <w:numFmt w:val="lowerRoman"/>
      <w:lvlText w:val="%3."/>
      <w:lvlJc w:val="right"/>
      <w:pPr>
        <w:ind w:left="2225" w:hanging="180"/>
      </w:pPr>
    </w:lvl>
    <w:lvl w:ilvl="3" w:tentative="0">
      <w:start w:val="1"/>
      <w:numFmt w:val="decimal"/>
      <w:lvlText w:val="%4."/>
      <w:lvlJc w:val="left"/>
      <w:pPr>
        <w:ind w:left="2945" w:hanging="360"/>
      </w:pPr>
    </w:lvl>
    <w:lvl w:ilvl="4" w:tentative="0">
      <w:start w:val="1"/>
      <w:numFmt w:val="lowerLetter"/>
      <w:lvlText w:val="%5."/>
      <w:lvlJc w:val="left"/>
      <w:pPr>
        <w:ind w:left="3665" w:hanging="360"/>
      </w:pPr>
    </w:lvl>
    <w:lvl w:ilvl="5" w:tentative="0">
      <w:start w:val="1"/>
      <w:numFmt w:val="lowerRoman"/>
      <w:lvlText w:val="%6."/>
      <w:lvlJc w:val="right"/>
      <w:pPr>
        <w:ind w:left="4385" w:hanging="180"/>
      </w:pPr>
    </w:lvl>
    <w:lvl w:ilvl="6" w:tentative="0">
      <w:start w:val="1"/>
      <w:numFmt w:val="decimal"/>
      <w:lvlText w:val="%7."/>
      <w:lvlJc w:val="left"/>
      <w:pPr>
        <w:ind w:left="5105" w:hanging="360"/>
      </w:pPr>
    </w:lvl>
    <w:lvl w:ilvl="7" w:tentative="0">
      <w:start w:val="1"/>
      <w:numFmt w:val="lowerLetter"/>
      <w:lvlText w:val="%8."/>
      <w:lvlJc w:val="left"/>
      <w:pPr>
        <w:ind w:left="5825" w:hanging="360"/>
      </w:pPr>
    </w:lvl>
    <w:lvl w:ilvl="8" w:tentative="0">
      <w:start w:val="1"/>
      <w:numFmt w:val="lowerRoman"/>
      <w:lvlText w:val="%9."/>
      <w:lvlJc w:val="right"/>
      <w:pPr>
        <w:ind w:left="6545" w:hanging="180"/>
      </w:pPr>
    </w:lvl>
  </w:abstractNum>
  <w:abstractNum w:abstractNumId="24">
    <w:nsid w:val="35B51275"/>
    <w:multiLevelType w:val="multilevel"/>
    <w:tmpl w:val="35B51275"/>
    <w:lvl w:ilvl="0" w:tentative="0">
      <w:start w:val="1"/>
      <w:numFmt w:val="bullet"/>
      <w:lvlText w:val=""/>
      <w:lvlJc w:val="left"/>
      <w:pPr>
        <w:tabs>
          <w:tab w:val="left" w:pos="227"/>
        </w:tabs>
        <w:ind w:left="227" w:hanging="227"/>
      </w:pPr>
      <w:rPr>
        <w:rFonts w:hint="default" w:ascii="Symbol" w:hAnsi="Symbol"/>
      </w:rPr>
    </w:lvl>
    <w:lvl w:ilvl="1" w:tentative="0">
      <w:start w:val="1"/>
      <w:numFmt w:val="bullet"/>
      <w:lvlText w:val=""/>
      <w:lvlJc w:val="left"/>
      <w:pPr>
        <w:tabs>
          <w:tab w:val="left" w:pos="1440"/>
        </w:tabs>
        <w:ind w:left="1440" w:hanging="360"/>
      </w:pPr>
      <w:rPr>
        <w:rFonts w:hint="default" w:ascii="Symbol" w:hAnsi="Symbol"/>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5">
    <w:nsid w:val="361F0A12"/>
    <w:multiLevelType w:val="multilevel"/>
    <w:tmpl w:val="361F0A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3F5E42C7"/>
    <w:multiLevelType w:val="multilevel"/>
    <w:tmpl w:val="3F5E42C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440243D3"/>
    <w:multiLevelType w:val="multilevel"/>
    <w:tmpl w:val="440243D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8">
    <w:nsid w:val="4D7D7DC9"/>
    <w:multiLevelType w:val="multilevel"/>
    <w:tmpl w:val="4D7D7DC9"/>
    <w:lvl w:ilvl="0" w:tentative="0">
      <w:start w:val="1"/>
      <w:numFmt w:val="decimal"/>
      <w:lvlText w:val="%1"/>
      <w:lvlJc w:val="left"/>
      <w:pPr>
        <w:tabs>
          <w:tab w:val="left" w:pos="2250"/>
        </w:tabs>
        <w:ind w:left="2250"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9">
    <w:nsid w:val="4DD47DF1"/>
    <w:multiLevelType w:val="multilevel"/>
    <w:tmpl w:val="4DD47DF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30">
    <w:nsid w:val="51F4561B"/>
    <w:multiLevelType w:val="multilevel"/>
    <w:tmpl w:val="51F4561B"/>
    <w:lvl w:ilvl="0" w:tentative="0">
      <w:start w:val="1"/>
      <w:numFmt w:val="decimal"/>
      <w:lvlText w:val="%1."/>
      <w:lvlJc w:val="left"/>
      <w:pPr>
        <w:tabs>
          <w:tab w:val="left" w:pos="720"/>
        </w:tabs>
        <w:ind w:left="720" w:hanging="360"/>
      </w:pPr>
      <w:rPr>
        <w:rFonts w:hint="default"/>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1">
    <w:nsid w:val="5A0D5BFC"/>
    <w:multiLevelType w:val="multilevel"/>
    <w:tmpl w:val="5A0D5BFC"/>
    <w:lvl w:ilvl="0" w:tentative="0">
      <w:start w:val="1"/>
      <w:numFmt w:val="decimal"/>
      <w:lvlText w:val="%1."/>
      <w:lvlJc w:val="left"/>
      <w:pPr>
        <w:tabs>
          <w:tab w:val="left" w:pos="1620"/>
        </w:tabs>
        <w:ind w:left="1620" w:hanging="360"/>
      </w:pPr>
    </w:lvl>
    <w:lvl w:ilvl="1" w:tentative="0">
      <w:start w:val="1"/>
      <w:numFmt w:val="lowerLetter"/>
      <w:lvlText w:val="%2."/>
      <w:lvlJc w:val="left"/>
      <w:pPr>
        <w:tabs>
          <w:tab w:val="left" w:pos="2340"/>
        </w:tabs>
        <w:ind w:left="2340" w:hanging="360"/>
      </w:pPr>
    </w:lvl>
    <w:lvl w:ilvl="2" w:tentative="0">
      <w:start w:val="1"/>
      <w:numFmt w:val="lowerRoman"/>
      <w:lvlText w:val="%3."/>
      <w:lvlJc w:val="right"/>
      <w:pPr>
        <w:tabs>
          <w:tab w:val="left" w:pos="3060"/>
        </w:tabs>
        <w:ind w:left="3060" w:hanging="180"/>
      </w:pPr>
    </w:lvl>
    <w:lvl w:ilvl="3" w:tentative="0">
      <w:start w:val="1"/>
      <w:numFmt w:val="decimal"/>
      <w:lvlText w:val="%4."/>
      <w:lvlJc w:val="left"/>
      <w:pPr>
        <w:tabs>
          <w:tab w:val="left" w:pos="3780"/>
        </w:tabs>
        <w:ind w:left="3780" w:hanging="360"/>
      </w:pPr>
    </w:lvl>
    <w:lvl w:ilvl="4" w:tentative="0">
      <w:start w:val="1"/>
      <w:numFmt w:val="lowerLetter"/>
      <w:lvlText w:val="%5."/>
      <w:lvlJc w:val="left"/>
      <w:pPr>
        <w:tabs>
          <w:tab w:val="left" w:pos="4500"/>
        </w:tabs>
        <w:ind w:left="4500" w:hanging="360"/>
      </w:pPr>
    </w:lvl>
    <w:lvl w:ilvl="5" w:tentative="0">
      <w:start w:val="1"/>
      <w:numFmt w:val="lowerRoman"/>
      <w:lvlText w:val="%6."/>
      <w:lvlJc w:val="right"/>
      <w:pPr>
        <w:tabs>
          <w:tab w:val="left" w:pos="5220"/>
        </w:tabs>
        <w:ind w:left="5220" w:hanging="180"/>
      </w:pPr>
    </w:lvl>
    <w:lvl w:ilvl="6" w:tentative="0">
      <w:start w:val="1"/>
      <w:numFmt w:val="decimal"/>
      <w:lvlText w:val="%7."/>
      <w:lvlJc w:val="left"/>
      <w:pPr>
        <w:tabs>
          <w:tab w:val="left" w:pos="5940"/>
        </w:tabs>
        <w:ind w:left="5940" w:hanging="360"/>
      </w:pPr>
    </w:lvl>
    <w:lvl w:ilvl="7" w:tentative="0">
      <w:start w:val="1"/>
      <w:numFmt w:val="lowerLetter"/>
      <w:lvlText w:val="%8."/>
      <w:lvlJc w:val="left"/>
      <w:pPr>
        <w:tabs>
          <w:tab w:val="left" w:pos="6660"/>
        </w:tabs>
        <w:ind w:left="6660" w:hanging="360"/>
      </w:pPr>
    </w:lvl>
    <w:lvl w:ilvl="8" w:tentative="0">
      <w:start w:val="1"/>
      <w:numFmt w:val="lowerRoman"/>
      <w:lvlText w:val="%9."/>
      <w:lvlJc w:val="right"/>
      <w:pPr>
        <w:tabs>
          <w:tab w:val="left" w:pos="7380"/>
        </w:tabs>
        <w:ind w:left="7380" w:hanging="180"/>
      </w:pPr>
    </w:lvl>
  </w:abstractNum>
  <w:abstractNum w:abstractNumId="32">
    <w:nsid w:val="5BC85CB5"/>
    <w:multiLevelType w:val="multilevel"/>
    <w:tmpl w:val="5BC85CB5"/>
    <w:lvl w:ilvl="0" w:tentative="0">
      <w:start w:val="1"/>
      <w:numFmt w:val="bullet"/>
      <w:lvlText w:val="­"/>
      <w:lvlJc w:val="left"/>
      <w:pPr>
        <w:ind w:left="1429" w:hanging="360"/>
      </w:pPr>
      <w:rPr>
        <w:rFonts w:hint="default" w:ascii="Courier New" w:hAnsi="Courier New"/>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3">
    <w:nsid w:val="5CBD0291"/>
    <w:multiLevelType w:val="multilevel"/>
    <w:tmpl w:val="5CBD029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4">
    <w:nsid w:val="60C23A69"/>
    <w:multiLevelType w:val="multilevel"/>
    <w:tmpl w:val="60C23A69"/>
    <w:lvl w:ilvl="0" w:tentative="0">
      <w:start w:val="12"/>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5">
    <w:nsid w:val="649D17CA"/>
    <w:multiLevelType w:val="multilevel"/>
    <w:tmpl w:val="649D17CA"/>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6">
    <w:nsid w:val="6FE877DE"/>
    <w:multiLevelType w:val="multilevel"/>
    <w:tmpl w:val="6FE877DE"/>
    <w:lvl w:ilvl="0" w:tentative="0">
      <w:start w:val="1"/>
      <w:numFmt w:val="bullet"/>
      <w:lvlText w:val="-"/>
      <w:lvlJc w:val="left"/>
      <w:pPr>
        <w:tabs>
          <w:tab w:val="left" w:pos="1440"/>
        </w:tabs>
        <w:ind w:left="1440" w:hanging="360"/>
      </w:pPr>
      <w:rPr>
        <w:rFonts w:hint="default" w:ascii="Courier New" w:hAnsi="Courier New"/>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37">
    <w:nsid w:val="72131417"/>
    <w:multiLevelType w:val="multilevel"/>
    <w:tmpl w:val="72131417"/>
    <w:lvl w:ilvl="0" w:tentative="0">
      <w:start w:val="3"/>
      <w:numFmt w:val="decimal"/>
      <w:lvlText w:val="%1."/>
      <w:lvlJc w:val="left"/>
      <w:pPr>
        <w:ind w:left="540" w:hanging="540"/>
      </w:pPr>
      <w:rPr>
        <w:rFonts w:hint="default"/>
      </w:rPr>
    </w:lvl>
    <w:lvl w:ilvl="1" w:tentative="0">
      <w:start w:val="2"/>
      <w:numFmt w:val="decimal"/>
      <w:lvlText w:val="%1.%2."/>
      <w:lvlJc w:val="left"/>
      <w:pPr>
        <w:ind w:left="540" w:hanging="540"/>
      </w:pPr>
      <w:rPr>
        <w:rFonts w:hint="default"/>
      </w:rPr>
    </w:lvl>
    <w:lvl w:ilvl="2" w:tentative="0">
      <w:start w:val="4"/>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8">
    <w:nsid w:val="729E6C24"/>
    <w:multiLevelType w:val="multilevel"/>
    <w:tmpl w:val="729E6C2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7939644A"/>
    <w:multiLevelType w:val="multilevel"/>
    <w:tmpl w:val="7939644A"/>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0">
    <w:nsid w:val="7A4E5553"/>
    <w:multiLevelType w:val="multilevel"/>
    <w:tmpl w:val="7A4E5553"/>
    <w:lvl w:ilvl="0" w:tentative="0">
      <w:start w:val="1"/>
      <w:numFmt w:val="bullet"/>
      <w:lvlText w:val=""/>
      <w:lvlJc w:val="left"/>
      <w:pPr>
        <w:tabs>
          <w:tab w:val="left" w:pos="2184"/>
        </w:tabs>
        <w:ind w:left="2184" w:hanging="340"/>
      </w:pPr>
      <w:rPr>
        <w:rFonts w:hint="default" w:ascii="Symbol" w:hAnsi="Symbol"/>
      </w:rPr>
    </w:lvl>
    <w:lvl w:ilvl="1" w:tentative="0">
      <w:start w:val="1"/>
      <w:numFmt w:val="bullet"/>
      <w:lvlText w:val="o"/>
      <w:lvlJc w:val="left"/>
      <w:pPr>
        <w:tabs>
          <w:tab w:val="left" w:pos="3993"/>
        </w:tabs>
        <w:ind w:left="3993" w:hanging="360"/>
      </w:pPr>
      <w:rPr>
        <w:rFonts w:hint="default" w:ascii="Courier New" w:hAnsi="Courier New" w:cs="Courier New"/>
      </w:rPr>
    </w:lvl>
    <w:lvl w:ilvl="2" w:tentative="0">
      <w:start w:val="1"/>
      <w:numFmt w:val="bullet"/>
      <w:lvlText w:val=""/>
      <w:lvlJc w:val="left"/>
      <w:pPr>
        <w:tabs>
          <w:tab w:val="left" w:pos="4713"/>
        </w:tabs>
        <w:ind w:left="4713" w:hanging="360"/>
      </w:pPr>
      <w:rPr>
        <w:rFonts w:hint="default" w:ascii="Wingdings" w:hAnsi="Wingdings"/>
      </w:rPr>
    </w:lvl>
    <w:lvl w:ilvl="3" w:tentative="0">
      <w:start w:val="1"/>
      <w:numFmt w:val="bullet"/>
      <w:lvlText w:val=""/>
      <w:lvlJc w:val="left"/>
      <w:pPr>
        <w:tabs>
          <w:tab w:val="left" w:pos="5433"/>
        </w:tabs>
        <w:ind w:left="5433" w:hanging="360"/>
      </w:pPr>
      <w:rPr>
        <w:rFonts w:hint="default" w:ascii="Symbol" w:hAnsi="Symbol"/>
      </w:rPr>
    </w:lvl>
    <w:lvl w:ilvl="4" w:tentative="0">
      <w:start w:val="1"/>
      <w:numFmt w:val="bullet"/>
      <w:lvlText w:val="o"/>
      <w:lvlJc w:val="left"/>
      <w:pPr>
        <w:tabs>
          <w:tab w:val="left" w:pos="6153"/>
        </w:tabs>
        <w:ind w:left="6153" w:hanging="360"/>
      </w:pPr>
      <w:rPr>
        <w:rFonts w:hint="default" w:ascii="Courier New" w:hAnsi="Courier New" w:cs="Courier New"/>
      </w:rPr>
    </w:lvl>
    <w:lvl w:ilvl="5" w:tentative="0">
      <w:start w:val="1"/>
      <w:numFmt w:val="bullet"/>
      <w:lvlText w:val=""/>
      <w:lvlJc w:val="left"/>
      <w:pPr>
        <w:tabs>
          <w:tab w:val="left" w:pos="6873"/>
        </w:tabs>
        <w:ind w:left="6873" w:hanging="360"/>
      </w:pPr>
      <w:rPr>
        <w:rFonts w:hint="default" w:ascii="Wingdings" w:hAnsi="Wingdings"/>
      </w:rPr>
    </w:lvl>
    <w:lvl w:ilvl="6" w:tentative="0">
      <w:start w:val="1"/>
      <w:numFmt w:val="bullet"/>
      <w:lvlText w:val=""/>
      <w:lvlJc w:val="left"/>
      <w:pPr>
        <w:tabs>
          <w:tab w:val="left" w:pos="7593"/>
        </w:tabs>
        <w:ind w:left="7593" w:hanging="360"/>
      </w:pPr>
      <w:rPr>
        <w:rFonts w:hint="default" w:ascii="Symbol" w:hAnsi="Symbol"/>
      </w:rPr>
    </w:lvl>
    <w:lvl w:ilvl="7" w:tentative="0">
      <w:start w:val="1"/>
      <w:numFmt w:val="bullet"/>
      <w:lvlText w:val="o"/>
      <w:lvlJc w:val="left"/>
      <w:pPr>
        <w:tabs>
          <w:tab w:val="left" w:pos="8313"/>
        </w:tabs>
        <w:ind w:left="8313" w:hanging="360"/>
      </w:pPr>
      <w:rPr>
        <w:rFonts w:hint="default" w:ascii="Courier New" w:hAnsi="Courier New" w:cs="Courier New"/>
      </w:rPr>
    </w:lvl>
    <w:lvl w:ilvl="8" w:tentative="0">
      <w:start w:val="1"/>
      <w:numFmt w:val="bullet"/>
      <w:lvlText w:val=""/>
      <w:lvlJc w:val="left"/>
      <w:pPr>
        <w:tabs>
          <w:tab w:val="left" w:pos="9033"/>
        </w:tabs>
        <w:ind w:left="9033" w:hanging="360"/>
      </w:pPr>
      <w:rPr>
        <w:rFonts w:hint="default" w:ascii="Wingdings" w:hAnsi="Wingdings"/>
      </w:rPr>
    </w:lvl>
  </w:abstractNum>
  <w:num w:numId="1">
    <w:abstractNumId w:val="2"/>
  </w:num>
  <w:num w:numId="2">
    <w:abstractNumId w:val="22"/>
  </w:num>
  <w:num w:numId="3">
    <w:abstractNumId w:val="27"/>
  </w:num>
  <w:num w:numId="4">
    <w:abstractNumId w:val="10"/>
  </w:num>
  <w:num w:numId="5">
    <w:abstractNumId w:val="29"/>
  </w:num>
  <w:num w:numId="6">
    <w:abstractNumId w:val="11"/>
  </w:num>
  <w:num w:numId="7">
    <w:abstractNumId w:val="12"/>
  </w:num>
  <w:num w:numId="8">
    <w:abstractNumId w:val="16"/>
  </w:num>
  <w:num w:numId="9">
    <w:abstractNumId w:val="26"/>
  </w:num>
  <w:num w:numId="10">
    <w:abstractNumId w:val="36"/>
  </w:num>
  <w:num w:numId="11">
    <w:abstractNumId w:val="30"/>
  </w:num>
  <w:num w:numId="12">
    <w:abstractNumId w:val="4"/>
  </w:num>
  <w:num w:numId="13">
    <w:abstractNumId w:val="40"/>
  </w:num>
  <w:num w:numId="14">
    <w:abstractNumId w:val="31"/>
  </w:num>
  <w:num w:numId="15">
    <w:abstractNumId w:val="20"/>
  </w:num>
  <w:num w:numId="16">
    <w:abstractNumId w:val="8"/>
  </w:num>
  <w:num w:numId="17">
    <w:abstractNumId w:val="1"/>
  </w:num>
  <w:num w:numId="18">
    <w:abstractNumId w:val="17"/>
  </w:num>
  <w:num w:numId="19">
    <w:abstractNumId w:val="6"/>
  </w:num>
  <w:num w:numId="20">
    <w:abstractNumId w:val="3"/>
  </w:num>
  <w:num w:numId="21">
    <w:abstractNumId w:val="19"/>
  </w:num>
  <w:num w:numId="22">
    <w:abstractNumId w:val="34"/>
  </w:num>
  <w:num w:numId="23">
    <w:abstractNumId w:val="0"/>
  </w:num>
  <w:num w:numId="24">
    <w:abstractNumId w:val="35"/>
  </w:num>
  <w:num w:numId="25">
    <w:abstractNumId w:val="14"/>
  </w:num>
  <w:num w:numId="26">
    <w:abstractNumId w:val="23"/>
  </w:num>
  <w:num w:numId="27">
    <w:abstractNumId w:val="24"/>
  </w:num>
  <w:num w:numId="28">
    <w:abstractNumId w:val="33"/>
  </w:num>
  <w:num w:numId="29">
    <w:abstractNumId w:val="25"/>
  </w:num>
  <w:num w:numId="30">
    <w:abstractNumId w:val="21"/>
  </w:num>
  <w:num w:numId="31">
    <w:abstractNumId w:val="37"/>
  </w:num>
  <w:num w:numId="32">
    <w:abstractNumId w:val="15"/>
  </w:num>
  <w:num w:numId="33">
    <w:abstractNumId w:val="7"/>
  </w:num>
  <w:num w:numId="34">
    <w:abstractNumId w:val="5"/>
  </w:num>
  <w:num w:numId="35">
    <w:abstractNumId w:val="28"/>
  </w:num>
  <w:num w:numId="36">
    <w:abstractNumId w:val="13"/>
  </w:num>
  <w:num w:numId="37">
    <w:abstractNumId w:val="39"/>
  </w:num>
  <w:num w:numId="38">
    <w:abstractNumId w:val="9"/>
  </w:num>
  <w:num w:numId="39">
    <w:abstractNumId w:val="18"/>
  </w:num>
  <w:num w:numId="40">
    <w:abstractNumId w:val="32"/>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E4"/>
    <w:rsid w:val="00020F08"/>
    <w:rsid w:val="00027167"/>
    <w:rsid w:val="00130348"/>
    <w:rsid w:val="00185A21"/>
    <w:rsid w:val="002634E4"/>
    <w:rsid w:val="003549F6"/>
    <w:rsid w:val="004D5F7A"/>
    <w:rsid w:val="005626D5"/>
    <w:rsid w:val="0095539D"/>
    <w:rsid w:val="79903928"/>
    <w:rsid w:val="7D5B5152"/>
  </w:rsids>
  <m:mathPr>
    <m:lMargin m:val="0"/>
    <m:mathFont m:val="Cambria Math"/>
    <m:rMargin m:val="0"/>
    <m:wrapIndent m:val="1440"/>
    <m:brkBin m:val="before"/>
    <m:brkBinSub m:val="--"/>
    <m:defJc m:val="centerGroup"/>
    <m:intLim m:val="subSup"/>
    <m:naryLim m:val="undOvr"/>
    <m:smallFrac m:val="0"/>
    <m:dispDef/>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semiHidden="0"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9"/>
    <w:pPr>
      <w:keepNext/>
      <w:keepLines/>
      <w:spacing w:before="480" w:after="0"/>
      <w:outlineLvl w:val="0"/>
    </w:pPr>
    <w:rPr>
      <w:rFonts w:ascii="Cambria" w:hAnsi="Cambria" w:eastAsia="Times New Roman" w:cs="Times New Roman"/>
      <w:b/>
      <w:bCs/>
      <w:color w:val="365F91"/>
      <w:sz w:val="28"/>
      <w:szCs w:val="28"/>
      <w:lang w:val="zh-CN" w:eastAsia="zh-CN"/>
    </w:rPr>
  </w:style>
  <w:style w:type="paragraph" w:styleId="3">
    <w:name w:val="heading 2"/>
    <w:basedOn w:val="1"/>
    <w:next w:val="1"/>
    <w:link w:val="25"/>
    <w:qFormat/>
    <w:uiPriority w:val="0"/>
    <w:pPr>
      <w:keepNext/>
      <w:tabs>
        <w:tab w:val="left" w:pos="576"/>
      </w:tabs>
      <w:suppressAutoHyphens/>
      <w:spacing w:before="240" w:after="60" w:line="240" w:lineRule="auto"/>
      <w:ind w:firstLine="709"/>
      <w:jc w:val="both"/>
      <w:outlineLvl w:val="1"/>
    </w:pPr>
    <w:rPr>
      <w:rFonts w:ascii="Arial" w:hAnsi="Arial" w:eastAsia="Times New Roman" w:cs="Times New Roman"/>
      <w:b/>
      <w:bCs/>
      <w:i/>
      <w:iCs/>
      <w:sz w:val="28"/>
      <w:szCs w:val="28"/>
      <w:lang w:val="zh-CN" w:eastAsia="ar-SA"/>
    </w:rPr>
  </w:style>
  <w:style w:type="paragraph" w:styleId="4">
    <w:name w:val="heading 3"/>
    <w:basedOn w:val="1"/>
    <w:next w:val="1"/>
    <w:link w:val="26"/>
    <w:qFormat/>
    <w:uiPriority w:val="9"/>
    <w:pPr>
      <w:keepNext/>
      <w:keepLines/>
      <w:spacing w:before="200" w:after="0"/>
      <w:outlineLvl w:val="2"/>
    </w:pPr>
    <w:rPr>
      <w:rFonts w:ascii="Cambria" w:hAnsi="Cambria" w:eastAsia="Times New Roman" w:cs="Times New Roman"/>
      <w:b/>
      <w:bCs/>
      <w:color w:val="4F81BD"/>
      <w:lang w:val="zh-CN" w:eastAsia="zh-CN"/>
    </w:rPr>
  </w:style>
  <w:style w:type="character" w:default="1" w:styleId="19">
    <w:name w:val="Default Paragraph Font"/>
    <w:unhideWhenUsed/>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5">
    <w:name w:val="Balloon Text"/>
    <w:basedOn w:val="1"/>
    <w:link w:val="30"/>
    <w:unhideWhenUsed/>
    <w:uiPriority w:val="0"/>
    <w:pPr>
      <w:spacing w:after="0" w:line="240" w:lineRule="auto"/>
    </w:pPr>
    <w:rPr>
      <w:rFonts w:ascii="Tahoma" w:hAnsi="Tahoma" w:eastAsia="Times New Roman" w:cs="Times New Roman"/>
      <w:sz w:val="16"/>
      <w:szCs w:val="16"/>
      <w:lang w:val="zh-CN" w:eastAsia="zh-CN"/>
    </w:rPr>
  </w:style>
  <w:style w:type="paragraph" w:styleId="6">
    <w:name w:val="Body Text 2"/>
    <w:basedOn w:val="1"/>
    <w:link w:val="31"/>
    <w:uiPriority w:val="0"/>
    <w:pPr>
      <w:spacing w:after="0" w:line="240" w:lineRule="auto"/>
      <w:jc w:val="center"/>
    </w:pPr>
    <w:rPr>
      <w:rFonts w:ascii="Times New Roman" w:hAnsi="Times New Roman" w:eastAsia="Times New Roman" w:cs="Times New Roman"/>
      <w:sz w:val="24"/>
      <w:szCs w:val="24"/>
      <w:lang w:val="zh-CN" w:eastAsia="ar-SA"/>
    </w:rPr>
  </w:style>
  <w:style w:type="paragraph" w:styleId="7">
    <w:name w:val="Plain Text"/>
    <w:basedOn w:val="1"/>
    <w:link w:val="65"/>
    <w:uiPriority w:val="0"/>
    <w:pPr>
      <w:spacing w:after="0" w:line="240" w:lineRule="auto"/>
    </w:pPr>
    <w:rPr>
      <w:rFonts w:ascii="Courier New" w:hAnsi="Courier New" w:eastAsia="Times New Roman" w:cs="Times New Roman"/>
      <w:sz w:val="20"/>
      <w:szCs w:val="20"/>
      <w:lang w:val="zh-CN" w:eastAsia="zh-CN"/>
    </w:rPr>
  </w:style>
  <w:style w:type="paragraph" w:styleId="8">
    <w:name w:val="Body Text Indent 3"/>
    <w:basedOn w:val="1"/>
    <w:link w:val="36"/>
    <w:unhideWhenUsed/>
    <w:uiPriority w:val="99"/>
    <w:pPr>
      <w:spacing w:after="120"/>
      <w:ind w:left="283"/>
    </w:pPr>
    <w:rPr>
      <w:rFonts w:ascii="Calibri" w:hAnsi="Calibri" w:eastAsia="Times New Roman" w:cs="Times New Roman"/>
      <w:sz w:val="16"/>
      <w:szCs w:val="16"/>
      <w:lang w:val="zh-CN" w:eastAsia="zh-CN"/>
    </w:rPr>
  </w:style>
  <w:style w:type="paragraph" w:styleId="9">
    <w:name w:val="header"/>
    <w:basedOn w:val="1"/>
    <w:link w:val="43"/>
    <w:unhideWhenUsed/>
    <w:uiPriority w:val="99"/>
    <w:pPr>
      <w:tabs>
        <w:tab w:val="center" w:pos="4677"/>
        <w:tab w:val="right" w:pos="9355"/>
      </w:tabs>
      <w:spacing w:after="0" w:line="240" w:lineRule="auto"/>
    </w:pPr>
    <w:rPr>
      <w:rFonts w:ascii="Calibri" w:hAnsi="Calibri" w:eastAsia="Times New Roman" w:cs="Times New Roman"/>
      <w:lang w:val="zh-CN" w:eastAsia="zh-CN"/>
    </w:rPr>
  </w:style>
  <w:style w:type="paragraph" w:styleId="10">
    <w:name w:val="Body Text"/>
    <w:basedOn w:val="1"/>
    <w:link w:val="35"/>
    <w:unhideWhenUsed/>
    <w:uiPriority w:val="99"/>
    <w:pPr>
      <w:spacing w:after="120"/>
    </w:pPr>
    <w:rPr>
      <w:rFonts w:ascii="Calibri" w:hAnsi="Calibri" w:eastAsia="Times New Roman" w:cs="Times New Roman"/>
      <w:lang w:val="zh-CN" w:eastAsia="zh-CN"/>
    </w:rPr>
  </w:style>
  <w:style w:type="paragraph" w:styleId="11">
    <w:name w:val="toc 1"/>
    <w:basedOn w:val="1"/>
    <w:next w:val="1"/>
    <w:unhideWhenUsed/>
    <w:qFormat/>
    <w:uiPriority w:val="39"/>
    <w:pPr>
      <w:tabs>
        <w:tab w:val="right" w:leader="dot" w:pos="9070"/>
      </w:tabs>
      <w:spacing w:after="100"/>
      <w:ind w:hanging="292"/>
      <w:jc w:val="center"/>
    </w:pPr>
    <w:rPr>
      <w:rFonts w:ascii="Times New Roman" w:hAnsi="Times New Roman" w:eastAsia="Times New Roman" w:cs="Times New Roman"/>
      <w:b/>
      <w:bCs/>
      <w:iCs/>
      <w:sz w:val="24"/>
      <w:szCs w:val="24"/>
      <w:lang w:eastAsia="ar-SA"/>
    </w:rPr>
  </w:style>
  <w:style w:type="paragraph" w:styleId="12">
    <w:name w:val="toc 3"/>
    <w:basedOn w:val="1"/>
    <w:next w:val="1"/>
    <w:unhideWhenUsed/>
    <w:qFormat/>
    <w:uiPriority w:val="39"/>
    <w:pPr>
      <w:tabs>
        <w:tab w:val="right" w:leader="dot" w:pos="9070"/>
      </w:tabs>
      <w:spacing w:after="100"/>
      <w:ind w:left="576" w:hanging="360"/>
    </w:pPr>
    <w:rPr>
      <w:rFonts w:ascii="Times New Roman" w:hAnsi="Times New Roman" w:eastAsia="Times New Roman" w:cs="Times New Roman"/>
      <w:lang w:eastAsia="ar-SA"/>
    </w:rPr>
  </w:style>
  <w:style w:type="paragraph" w:styleId="13">
    <w:name w:val="toc 2"/>
    <w:basedOn w:val="1"/>
    <w:next w:val="1"/>
    <w:unhideWhenUsed/>
    <w:qFormat/>
    <w:uiPriority w:val="39"/>
    <w:pPr>
      <w:tabs>
        <w:tab w:val="right" w:leader="dot" w:pos="9070"/>
      </w:tabs>
      <w:spacing w:after="100"/>
      <w:ind w:left="576" w:hanging="360"/>
    </w:pPr>
    <w:rPr>
      <w:rFonts w:ascii="Times New Roman" w:hAnsi="Times New Roman" w:eastAsia="Times New Roman" w:cs="Times New Roman"/>
      <w:bCs/>
      <w:lang w:eastAsia="ar-SA"/>
    </w:rPr>
  </w:style>
  <w:style w:type="paragraph" w:styleId="14">
    <w:name w:val="Body Text Indent"/>
    <w:basedOn w:val="1"/>
    <w:link w:val="34"/>
    <w:unhideWhenUsed/>
    <w:uiPriority w:val="99"/>
    <w:pPr>
      <w:spacing w:after="120"/>
      <w:ind w:left="283"/>
    </w:pPr>
    <w:rPr>
      <w:rFonts w:ascii="Calibri" w:hAnsi="Calibri" w:eastAsia="Times New Roman" w:cs="Times New Roman"/>
      <w:lang w:val="zh-CN" w:eastAsia="zh-CN"/>
    </w:rPr>
  </w:style>
  <w:style w:type="paragraph" w:styleId="15">
    <w:name w:val="footer"/>
    <w:basedOn w:val="1"/>
    <w:link w:val="44"/>
    <w:unhideWhenUsed/>
    <w:uiPriority w:val="99"/>
    <w:pPr>
      <w:tabs>
        <w:tab w:val="center" w:pos="4677"/>
        <w:tab w:val="right" w:pos="9355"/>
      </w:tabs>
      <w:spacing w:after="0" w:line="240" w:lineRule="auto"/>
    </w:pPr>
    <w:rPr>
      <w:rFonts w:ascii="Calibri" w:hAnsi="Calibri" w:eastAsia="Times New Roman" w:cs="Times New Roman"/>
      <w:lang w:val="zh-CN" w:eastAsia="zh-CN"/>
    </w:rPr>
  </w:style>
  <w:style w:type="paragraph" w:styleId="16">
    <w:name w:val="List Number 2"/>
    <w:basedOn w:val="1"/>
    <w:unhideWhenUsed/>
    <w:uiPriority w:val="99"/>
    <w:pPr>
      <w:tabs>
        <w:tab w:val="left" w:pos="720"/>
      </w:tabs>
      <w:ind w:left="720" w:hanging="360"/>
      <w:contextualSpacing/>
    </w:pPr>
    <w:rPr>
      <w:rFonts w:ascii="Calibri" w:hAnsi="Calibri" w:eastAsia="Times New Roman" w:cs="Times New Roman"/>
      <w:lang w:eastAsia="ru-RU"/>
    </w:rPr>
  </w:style>
  <w:style w:type="paragraph" w:styleId="17">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8">
    <w:name w:val="HTML Preformatted"/>
    <w:basedOn w:val="1"/>
    <w:link w:val="69"/>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Times New Roman"/>
      <w:sz w:val="20"/>
      <w:szCs w:val="20"/>
      <w:lang w:val="zh-CN" w:eastAsia="zh-CN"/>
    </w:rPr>
  </w:style>
  <w:style w:type="character" w:styleId="20">
    <w:name w:val="Emphasis"/>
    <w:qFormat/>
    <w:uiPriority w:val="20"/>
    <w:rPr>
      <w:i/>
      <w:iCs/>
    </w:rPr>
  </w:style>
  <w:style w:type="character" w:styleId="21">
    <w:name w:val="Strong"/>
    <w:qFormat/>
    <w:uiPriority w:val="22"/>
    <w:rPr>
      <w:b/>
      <w:bCs/>
    </w:rPr>
  </w:style>
  <w:style w:type="table" w:styleId="23">
    <w:name w:val="Table Grid"/>
    <w:basedOn w:val="22"/>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
    <w:name w:val="Заголовок 1 Знак"/>
    <w:basedOn w:val="19"/>
    <w:link w:val="2"/>
    <w:uiPriority w:val="9"/>
    <w:rPr>
      <w:rFonts w:ascii="Cambria" w:hAnsi="Cambria" w:eastAsia="Times New Roman" w:cs="Times New Roman"/>
      <w:b/>
      <w:bCs/>
      <w:color w:val="365F91"/>
      <w:sz w:val="28"/>
      <w:szCs w:val="28"/>
      <w:lang w:val="zh-CN" w:eastAsia="zh-CN"/>
    </w:rPr>
  </w:style>
  <w:style w:type="character" w:customStyle="1" w:styleId="25">
    <w:name w:val="Заголовок 2 Знак"/>
    <w:basedOn w:val="19"/>
    <w:link w:val="3"/>
    <w:qFormat/>
    <w:uiPriority w:val="0"/>
    <w:rPr>
      <w:rFonts w:ascii="Arial" w:hAnsi="Arial" w:eastAsia="Times New Roman" w:cs="Times New Roman"/>
      <w:b/>
      <w:bCs/>
      <w:i/>
      <w:iCs/>
      <w:sz w:val="28"/>
      <w:szCs w:val="28"/>
      <w:lang w:val="zh-CN" w:eastAsia="ar-SA"/>
    </w:rPr>
  </w:style>
  <w:style w:type="character" w:customStyle="1" w:styleId="26">
    <w:name w:val="Заголовок 3 Знак"/>
    <w:basedOn w:val="19"/>
    <w:link w:val="4"/>
    <w:uiPriority w:val="9"/>
    <w:rPr>
      <w:rFonts w:ascii="Cambria" w:hAnsi="Cambria" w:eastAsia="Times New Roman" w:cs="Times New Roman"/>
      <w:b/>
      <w:bCs/>
      <w:color w:val="4F81BD"/>
      <w:lang w:val="zh-CN" w:eastAsia="zh-CN"/>
    </w:rPr>
  </w:style>
  <w:style w:type="paragraph" w:customStyle="1" w:styleId="27">
    <w:name w:val="Знак Знак1"/>
    <w:basedOn w:val="1"/>
    <w:uiPriority w:val="0"/>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28">
    <w:name w:val="List Paragraph"/>
    <w:basedOn w:val="1"/>
    <w:qFormat/>
    <w:uiPriority w:val="0"/>
    <w:pPr>
      <w:suppressAutoHyphens/>
      <w:spacing w:after="0" w:line="240" w:lineRule="auto"/>
      <w:ind w:left="720"/>
      <w:contextualSpacing/>
    </w:pPr>
    <w:rPr>
      <w:rFonts w:ascii="Times New Roman" w:hAnsi="Times New Roman" w:eastAsia="Times New Roman" w:cs="Times New Roman"/>
      <w:sz w:val="24"/>
      <w:szCs w:val="24"/>
      <w:lang w:eastAsia="ar-SA"/>
    </w:rPr>
  </w:style>
  <w:style w:type="paragraph" w:customStyle="1" w:styleId="29">
    <w:name w:val="Основной текст с отступом 21"/>
    <w:basedOn w:val="1"/>
    <w:uiPriority w:val="0"/>
    <w:pPr>
      <w:suppressAutoHyphens/>
      <w:spacing w:after="0" w:line="240" w:lineRule="auto"/>
      <w:ind w:firstLine="624"/>
      <w:jc w:val="both"/>
    </w:pPr>
    <w:rPr>
      <w:rFonts w:ascii="Times New Roman" w:hAnsi="Times New Roman" w:eastAsia="Times New Roman" w:cs="Times New Roman"/>
      <w:sz w:val="24"/>
      <w:szCs w:val="20"/>
      <w:lang w:eastAsia="ar-SA"/>
    </w:rPr>
  </w:style>
  <w:style w:type="character" w:customStyle="1" w:styleId="30">
    <w:name w:val="Текст выноски Знак"/>
    <w:basedOn w:val="19"/>
    <w:link w:val="5"/>
    <w:uiPriority w:val="99"/>
    <w:rPr>
      <w:rFonts w:ascii="Tahoma" w:hAnsi="Tahoma" w:eastAsia="Times New Roman" w:cs="Times New Roman"/>
      <w:sz w:val="16"/>
      <w:szCs w:val="16"/>
      <w:lang w:val="zh-CN" w:eastAsia="zh-CN"/>
    </w:rPr>
  </w:style>
  <w:style w:type="character" w:customStyle="1" w:styleId="31">
    <w:name w:val="Основной текст 2 Знак"/>
    <w:basedOn w:val="19"/>
    <w:link w:val="6"/>
    <w:uiPriority w:val="0"/>
    <w:rPr>
      <w:rFonts w:ascii="Times New Roman" w:hAnsi="Times New Roman" w:eastAsia="Times New Roman" w:cs="Times New Roman"/>
      <w:sz w:val="24"/>
      <w:szCs w:val="24"/>
      <w:lang w:val="zh-CN" w:eastAsia="ar-SA"/>
    </w:rPr>
  </w:style>
  <w:style w:type="paragraph" w:customStyle="1" w:styleId="32">
    <w:name w:val="TOC Heading"/>
    <w:basedOn w:val="2"/>
    <w:next w:val="1"/>
    <w:qFormat/>
    <w:uiPriority w:val="39"/>
    <w:pPr>
      <w:outlineLvl w:val="9"/>
    </w:pPr>
    <w:rPr>
      <w:lang w:eastAsia="en-US"/>
    </w:rPr>
  </w:style>
  <w:style w:type="paragraph" w:customStyle="1" w:styleId="33">
    <w:name w:val="Содержимое таблицы"/>
    <w:basedOn w:val="1"/>
    <w:uiPriority w:val="0"/>
    <w:pPr>
      <w:widowControl w:val="0"/>
      <w:suppressLineNumbers/>
      <w:suppressAutoHyphens/>
      <w:spacing w:after="0" w:line="240" w:lineRule="auto"/>
    </w:pPr>
    <w:rPr>
      <w:rFonts w:ascii="Times New Roman" w:hAnsi="Times New Roman" w:eastAsia="Arial Unicode MS" w:cs="Tahoma"/>
      <w:kern w:val="1"/>
      <w:sz w:val="20"/>
      <w:szCs w:val="24"/>
      <w:lang w:eastAsia="ru-RU"/>
    </w:rPr>
  </w:style>
  <w:style w:type="character" w:customStyle="1" w:styleId="34">
    <w:name w:val="Основной текст с отступом Знак"/>
    <w:basedOn w:val="19"/>
    <w:link w:val="14"/>
    <w:uiPriority w:val="99"/>
    <w:rPr>
      <w:rFonts w:ascii="Calibri" w:hAnsi="Calibri" w:eastAsia="Times New Roman" w:cs="Times New Roman"/>
      <w:lang w:val="zh-CN" w:eastAsia="zh-CN"/>
    </w:rPr>
  </w:style>
  <w:style w:type="character" w:customStyle="1" w:styleId="35">
    <w:name w:val="Основной текст Знак"/>
    <w:basedOn w:val="19"/>
    <w:link w:val="10"/>
    <w:uiPriority w:val="99"/>
    <w:rPr>
      <w:rFonts w:ascii="Calibri" w:hAnsi="Calibri" w:eastAsia="Times New Roman" w:cs="Times New Roman"/>
      <w:lang w:val="zh-CN" w:eastAsia="zh-CN"/>
    </w:rPr>
  </w:style>
  <w:style w:type="character" w:customStyle="1" w:styleId="36">
    <w:name w:val="Основной текст с отступом 3 Знак"/>
    <w:basedOn w:val="19"/>
    <w:link w:val="8"/>
    <w:uiPriority w:val="99"/>
    <w:rPr>
      <w:rFonts w:ascii="Calibri" w:hAnsi="Calibri" w:eastAsia="Times New Roman" w:cs="Times New Roman"/>
      <w:sz w:val="16"/>
      <w:szCs w:val="16"/>
      <w:lang w:val="zh-CN" w:eastAsia="zh-CN"/>
    </w:rPr>
  </w:style>
  <w:style w:type="paragraph" w:customStyle="1" w:styleId="37">
    <w:name w:val="Стиль3"/>
    <w:basedOn w:val="1"/>
    <w:link w:val="38"/>
    <w:qFormat/>
    <w:uiPriority w:val="0"/>
    <w:pPr>
      <w:spacing w:before="120" w:after="0" w:line="360" w:lineRule="auto"/>
      <w:ind w:firstLine="709"/>
      <w:contextualSpacing/>
      <w:outlineLvl w:val="6"/>
    </w:pPr>
    <w:rPr>
      <w:rFonts w:ascii="Cambria" w:hAnsi="Cambria" w:eastAsia="Calibri" w:cs="Times New Roman"/>
      <w:b/>
      <w:color w:val="365F91"/>
      <w:sz w:val="24"/>
      <w:szCs w:val="24"/>
      <w:lang w:val="zh-CN"/>
    </w:rPr>
  </w:style>
  <w:style w:type="character" w:customStyle="1" w:styleId="38">
    <w:name w:val="Стиль3 Знак"/>
    <w:link w:val="37"/>
    <w:uiPriority w:val="0"/>
    <w:rPr>
      <w:rFonts w:ascii="Cambria" w:hAnsi="Cambria" w:eastAsia="Calibri" w:cs="Times New Roman"/>
      <w:b/>
      <w:color w:val="365F91"/>
      <w:sz w:val="24"/>
      <w:szCs w:val="24"/>
      <w:lang w:val="zh-CN"/>
    </w:rPr>
  </w:style>
  <w:style w:type="paragraph" w:customStyle="1" w:styleId="39">
    <w:name w:val="u"/>
    <w:basedOn w:val="1"/>
    <w:uiPriority w:val="0"/>
    <w:pPr>
      <w:spacing w:after="0" w:line="240" w:lineRule="auto"/>
      <w:ind w:firstLine="539"/>
      <w:jc w:val="both"/>
    </w:pPr>
    <w:rPr>
      <w:rFonts w:ascii="Times New Roman" w:hAnsi="Times New Roman" w:eastAsia="Times New Roman" w:cs="Times New Roman"/>
      <w:color w:val="000000"/>
      <w:sz w:val="18"/>
      <w:szCs w:val="18"/>
      <w:lang w:eastAsia="ru-RU"/>
    </w:rPr>
  </w:style>
  <w:style w:type="paragraph" w:customStyle="1" w:styleId="40">
    <w:name w:val="OTCHET_00"/>
    <w:basedOn w:val="16"/>
    <w:uiPriority w:val="0"/>
    <w:pPr>
      <w:tabs>
        <w:tab w:val="left" w:pos="709"/>
        <w:tab w:val="clear" w:pos="720"/>
      </w:tabs>
      <w:spacing w:after="0" w:line="360" w:lineRule="auto"/>
      <w:ind w:left="0" w:firstLine="0"/>
      <w:contextualSpacing w:val="0"/>
      <w:jc w:val="both"/>
    </w:pPr>
    <w:rPr>
      <w:rFonts w:ascii="Times New Roman" w:hAnsi="Times New Roman"/>
      <w:sz w:val="24"/>
      <w:szCs w:val="20"/>
    </w:rPr>
  </w:style>
  <w:style w:type="paragraph" w:customStyle="1" w:styleId="41">
    <w:name w:val="Основной текст 22"/>
    <w:basedOn w:val="1"/>
    <w:uiPriority w:val="0"/>
    <w:pPr>
      <w:overflowPunct w:val="0"/>
      <w:autoSpaceDE w:val="0"/>
      <w:autoSpaceDN w:val="0"/>
      <w:adjustRightInd w:val="0"/>
      <w:spacing w:after="0" w:line="240" w:lineRule="auto"/>
      <w:ind w:firstLine="709"/>
      <w:jc w:val="both"/>
      <w:textAlignment w:val="baseline"/>
    </w:pPr>
    <w:rPr>
      <w:rFonts w:ascii="Times New Roman" w:hAnsi="Times New Roman" w:eastAsia="Times New Roman" w:cs="Times New Roman"/>
      <w:sz w:val="28"/>
      <w:szCs w:val="20"/>
      <w:lang w:eastAsia="ru-RU"/>
    </w:rPr>
  </w:style>
  <w:style w:type="paragraph" w:customStyle="1" w:styleId="42">
    <w:name w:val="Основной"/>
    <w:basedOn w:val="14"/>
    <w:uiPriority w:val="0"/>
    <w:pPr>
      <w:spacing w:line="240" w:lineRule="auto"/>
    </w:pPr>
    <w:rPr>
      <w:rFonts w:ascii="Times New Roman" w:hAnsi="Times New Roman"/>
      <w:sz w:val="24"/>
      <w:szCs w:val="24"/>
    </w:rPr>
  </w:style>
  <w:style w:type="character" w:customStyle="1" w:styleId="43">
    <w:name w:val="Верхний колонтитул Знак"/>
    <w:basedOn w:val="19"/>
    <w:link w:val="9"/>
    <w:uiPriority w:val="99"/>
    <w:rPr>
      <w:rFonts w:ascii="Calibri" w:hAnsi="Calibri" w:eastAsia="Times New Roman" w:cs="Times New Roman"/>
      <w:lang w:val="zh-CN" w:eastAsia="zh-CN"/>
    </w:rPr>
  </w:style>
  <w:style w:type="character" w:customStyle="1" w:styleId="44">
    <w:name w:val="Нижний колонтитул Знак"/>
    <w:basedOn w:val="19"/>
    <w:link w:val="15"/>
    <w:uiPriority w:val="99"/>
    <w:rPr>
      <w:rFonts w:ascii="Calibri" w:hAnsi="Calibri" w:eastAsia="Times New Roman" w:cs="Times New Roman"/>
      <w:lang w:val="zh-CN" w:eastAsia="zh-CN"/>
    </w:rPr>
  </w:style>
  <w:style w:type="paragraph" w:customStyle="1" w:styleId="45">
    <w:name w:val="No Spacing"/>
    <w:link w:val="46"/>
    <w:qFormat/>
    <w:uiPriority w:val="1"/>
    <w:pPr>
      <w:spacing w:after="0" w:line="240" w:lineRule="auto"/>
    </w:pPr>
    <w:rPr>
      <w:rFonts w:ascii="Calibri" w:hAnsi="Calibri" w:eastAsia="Times New Roman" w:cs="Times New Roman"/>
      <w:sz w:val="22"/>
      <w:szCs w:val="22"/>
      <w:lang w:val="ru-RU" w:eastAsia="en-US" w:bidi="ar-SA"/>
    </w:rPr>
  </w:style>
  <w:style w:type="character" w:customStyle="1" w:styleId="46">
    <w:name w:val="Без интервала Знак"/>
    <w:link w:val="45"/>
    <w:uiPriority w:val="1"/>
    <w:rPr>
      <w:rFonts w:ascii="Calibri" w:hAnsi="Calibri" w:eastAsia="Times New Roman" w:cs="Times New Roman"/>
    </w:rPr>
  </w:style>
  <w:style w:type="paragraph" w:customStyle="1" w:styleId="47">
    <w:name w:val="ConsPlusNormal"/>
    <w:uiPriority w:val="0"/>
    <w:pPr>
      <w:widowControl w:val="0"/>
      <w:suppressAutoHyphens/>
      <w:autoSpaceDE w:val="0"/>
      <w:spacing w:after="0" w:line="240" w:lineRule="auto"/>
      <w:ind w:firstLine="720"/>
    </w:pPr>
    <w:rPr>
      <w:rFonts w:ascii="Arial" w:hAnsi="Arial" w:eastAsia="Times New Roman" w:cs="Arial"/>
      <w:sz w:val="20"/>
      <w:szCs w:val="20"/>
      <w:lang w:val="ru-RU" w:eastAsia="ar-SA" w:bidi="ar-SA"/>
    </w:rPr>
  </w:style>
  <w:style w:type="character" w:customStyle="1" w:styleId="48">
    <w:name w:val="st"/>
    <w:uiPriority w:val="0"/>
  </w:style>
  <w:style w:type="paragraph" w:customStyle="1" w:styleId="49">
    <w:name w:val="ConsPlusCell"/>
    <w:uiPriority w:val="0"/>
    <w:pPr>
      <w:widowControl w:val="0"/>
      <w:suppressAutoHyphens/>
      <w:autoSpaceDE w:val="0"/>
      <w:spacing w:after="0" w:line="240" w:lineRule="auto"/>
    </w:pPr>
    <w:rPr>
      <w:rFonts w:ascii="Arial" w:hAnsi="Arial" w:eastAsia="Times New Roman" w:cs="Arial"/>
      <w:sz w:val="20"/>
      <w:szCs w:val="20"/>
      <w:lang w:val="ru-RU" w:eastAsia="ar-SA" w:bidi="ar-SA"/>
    </w:rPr>
  </w:style>
  <w:style w:type="paragraph" w:customStyle="1" w:styleId="50">
    <w:name w:val="S_Обычный"/>
    <w:basedOn w:val="1"/>
    <w:link w:val="51"/>
    <w:uiPriority w:val="0"/>
    <w:pPr>
      <w:spacing w:after="0" w:line="360" w:lineRule="auto"/>
      <w:ind w:firstLine="709"/>
      <w:jc w:val="both"/>
    </w:pPr>
    <w:rPr>
      <w:rFonts w:ascii="Times New Roman" w:hAnsi="Times New Roman" w:eastAsia="Times New Roman" w:cs="Times New Roman"/>
      <w:sz w:val="24"/>
      <w:szCs w:val="24"/>
      <w:lang w:val="zh-CN" w:eastAsia="ar-SA"/>
    </w:rPr>
  </w:style>
  <w:style w:type="character" w:customStyle="1" w:styleId="51">
    <w:name w:val="S_Обычный Знак"/>
    <w:link w:val="50"/>
    <w:uiPriority w:val="0"/>
    <w:rPr>
      <w:rFonts w:ascii="Times New Roman" w:hAnsi="Times New Roman" w:eastAsia="Times New Roman" w:cs="Times New Roman"/>
      <w:sz w:val="24"/>
      <w:szCs w:val="24"/>
      <w:lang w:val="zh-CN" w:eastAsia="ar-SA"/>
    </w:rPr>
  </w:style>
  <w:style w:type="character" w:customStyle="1" w:styleId="52">
    <w:name w:val="Маркированный_1 Знак1"/>
    <w:uiPriority w:val="0"/>
  </w:style>
  <w:style w:type="character" w:customStyle="1" w:styleId="53">
    <w:name w:val="Body text_"/>
    <w:link w:val="54"/>
    <w:uiPriority w:val="0"/>
    <w:rPr>
      <w:rFonts w:ascii="Arial" w:hAnsi="Arial" w:eastAsia="Arial Unicode MS" w:cs="Arial"/>
      <w:sz w:val="15"/>
      <w:szCs w:val="15"/>
      <w:shd w:val="clear" w:color="auto" w:fill="FFFFFF"/>
    </w:rPr>
  </w:style>
  <w:style w:type="paragraph" w:customStyle="1" w:styleId="54">
    <w:name w:val="Body text1"/>
    <w:basedOn w:val="1"/>
    <w:link w:val="53"/>
    <w:uiPriority w:val="0"/>
    <w:pPr>
      <w:shd w:val="clear" w:color="auto" w:fill="FFFFFF"/>
      <w:spacing w:before="3720" w:after="0" w:line="192" w:lineRule="exact"/>
      <w:jc w:val="center"/>
    </w:pPr>
    <w:rPr>
      <w:rFonts w:ascii="Arial" w:hAnsi="Arial" w:eastAsia="Arial Unicode MS" w:cs="Arial"/>
      <w:sz w:val="15"/>
      <w:szCs w:val="15"/>
    </w:rPr>
  </w:style>
  <w:style w:type="character" w:customStyle="1" w:styleId="55">
    <w:name w:val="Heading #2_"/>
    <w:link w:val="56"/>
    <w:uiPriority w:val="0"/>
    <w:rPr>
      <w:rFonts w:ascii="Arial" w:hAnsi="Arial" w:eastAsia="Arial Unicode MS" w:cs="Arial"/>
      <w:b/>
      <w:bCs/>
      <w:sz w:val="15"/>
      <w:szCs w:val="15"/>
      <w:shd w:val="clear" w:color="auto" w:fill="FFFFFF"/>
    </w:rPr>
  </w:style>
  <w:style w:type="paragraph" w:customStyle="1" w:styleId="56">
    <w:name w:val="Heading #2"/>
    <w:basedOn w:val="1"/>
    <w:link w:val="55"/>
    <w:uiPriority w:val="0"/>
    <w:pPr>
      <w:shd w:val="clear" w:color="auto" w:fill="FFFFFF"/>
      <w:spacing w:before="120" w:after="0" w:line="240" w:lineRule="atLeast"/>
      <w:jc w:val="both"/>
      <w:outlineLvl w:val="1"/>
    </w:pPr>
    <w:rPr>
      <w:rFonts w:ascii="Arial" w:hAnsi="Arial" w:eastAsia="Arial Unicode MS" w:cs="Arial"/>
      <w:b/>
      <w:bCs/>
      <w:sz w:val="15"/>
      <w:szCs w:val="15"/>
    </w:rPr>
  </w:style>
  <w:style w:type="character" w:customStyle="1" w:styleId="57">
    <w:name w:val="Body text (8)_"/>
    <w:link w:val="58"/>
    <w:uiPriority w:val="0"/>
    <w:rPr>
      <w:rFonts w:ascii="Arial" w:hAnsi="Arial"/>
      <w:i/>
      <w:iCs/>
      <w:sz w:val="11"/>
      <w:szCs w:val="11"/>
      <w:shd w:val="clear" w:color="auto" w:fill="FFFFFF"/>
    </w:rPr>
  </w:style>
  <w:style w:type="paragraph" w:customStyle="1" w:styleId="58">
    <w:name w:val="Body text (8)"/>
    <w:basedOn w:val="1"/>
    <w:link w:val="57"/>
    <w:uiPriority w:val="0"/>
    <w:pPr>
      <w:shd w:val="clear" w:color="auto" w:fill="FFFFFF"/>
      <w:spacing w:after="0" w:line="240" w:lineRule="atLeast"/>
    </w:pPr>
    <w:rPr>
      <w:rFonts w:ascii="Arial" w:hAnsi="Arial"/>
      <w:i/>
      <w:iCs/>
      <w:sz w:val="11"/>
      <w:szCs w:val="11"/>
    </w:rPr>
  </w:style>
  <w:style w:type="character" w:customStyle="1" w:styleId="59">
    <w:name w:val="Body text (7)_"/>
    <w:link w:val="60"/>
    <w:uiPriority w:val="0"/>
    <w:rPr>
      <w:rFonts w:ascii="Arial" w:hAnsi="Arial"/>
      <w:sz w:val="12"/>
      <w:szCs w:val="12"/>
      <w:shd w:val="clear" w:color="auto" w:fill="FFFFFF"/>
    </w:rPr>
  </w:style>
  <w:style w:type="paragraph" w:customStyle="1" w:styleId="60">
    <w:name w:val="Body text (7)"/>
    <w:basedOn w:val="1"/>
    <w:link w:val="59"/>
    <w:uiPriority w:val="0"/>
    <w:pPr>
      <w:shd w:val="clear" w:color="auto" w:fill="FFFFFF"/>
      <w:spacing w:after="0" w:line="158" w:lineRule="exact"/>
    </w:pPr>
    <w:rPr>
      <w:rFonts w:ascii="Arial" w:hAnsi="Arial"/>
      <w:sz w:val="12"/>
      <w:szCs w:val="12"/>
    </w:rPr>
  </w:style>
  <w:style w:type="character" w:customStyle="1" w:styleId="61">
    <w:name w:val="Body text + Bold32"/>
    <w:uiPriority w:val="0"/>
    <w:rPr>
      <w:rFonts w:ascii="Arial" w:hAnsi="Arial" w:eastAsia="Arial Unicode MS" w:cs="Arial"/>
      <w:b/>
      <w:bCs/>
      <w:spacing w:val="0"/>
      <w:sz w:val="15"/>
      <w:szCs w:val="15"/>
      <w:lang w:val="ru-RU" w:eastAsia="ru-RU" w:bidi="ar-SA"/>
    </w:rPr>
  </w:style>
  <w:style w:type="character" w:customStyle="1" w:styleId="62">
    <w:name w:val="Body text + Bold36"/>
    <w:uiPriority w:val="0"/>
    <w:rPr>
      <w:rFonts w:ascii="Arial" w:hAnsi="Arial" w:eastAsia="Arial Unicode MS" w:cs="Arial"/>
      <w:b/>
      <w:bCs/>
      <w:sz w:val="15"/>
      <w:szCs w:val="15"/>
      <w:lang w:val="ru-RU" w:eastAsia="ru-RU" w:bidi="ar-SA"/>
    </w:rPr>
  </w:style>
  <w:style w:type="character" w:customStyle="1" w:styleId="63">
    <w:name w:val="Body text + Bold35"/>
    <w:uiPriority w:val="0"/>
    <w:rPr>
      <w:rFonts w:ascii="Arial" w:hAnsi="Arial" w:eastAsia="Arial Unicode MS" w:cs="Arial"/>
      <w:b/>
      <w:bCs/>
      <w:sz w:val="15"/>
      <w:szCs w:val="15"/>
      <w:lang w:val="ru-RU" w:eastAsia="ru-RU" w:bidi="ar-SA"/>
    </w:rPr>
  </w:style>
  <w:style w:type="character" w:customStyle="1" w:styleId="64">
    <w:name w:val="Body text + Bold34"/>
    <w:uiPriority w:val="0"/>
    <w:rPr>
      <w:rFonts w:ascii="Arial" w:hAnsi="Arial" w:eastAsia="Arial Unicode MS" w:cs="Arial"/>
      <w:b/>
      <w:bCs/>
      <w:sz w:val="15"/>
      <w:szCs w:val="15"/>
      <w:lang w:val="ru-RU" w:eastAsia="ru-RU" w:bidi="ar-SA"/>
    </w:rPr>
  </w:style>
  <w:style w:type="character" w:customStyle="1" w:styleId="65">
    <w:name w:val="Текст Знак"/>
    <w:basedOn w:val="19"/>
    <w:link w:val="7"/>
    <w:uiPriority w:val="0"/>
    <w:rPr>
      <w:rFonts w:ascii="Courier New" w:hAnsi="Courier New" w:eastAsia="Times New Roman" w:cs="Times New Roman"/>
      <w:sz w:val="20"/>
      <w:szCs w:val="20"/>
      <w:lang w:val="zh-CN" w:eastAsia="zh-CN"/>
    </w:rPr>
  </w:style>
  <w:style w:type="paragraph" w:customStyle="1" w:styleId="66">
    <w:name w:val="western"/>
    <w:basedOn w:val="1"/>
    <w:uiPriority w:val="0"/>
    <w:pPr>
      <w:suppressAutoHyphens/>
      <w:spacing w:before="280" w:after="280" w:line="240" w:lineRule="auto"/>
    </w:pPr>
    <w:rPr>
      <w:rFonts w:ascii="Times New Roman" w:hAnsi="Times New Roman" w:eastAsia="Times New Roman" w:cs="Times New Roman"/>
      <w:sz w:val="24"/>
      <w:szCs w:val="24"/>
      <w:lang w:eastAsia="ar-SA"/>
    </w:rPr>
  </w:style>
  <w:style w:type="character" w:customStyle="1" w:styleId="67">
    <w:name w:val="Body text + Bold12"/>
    <w:uiPriority w:val="0"/>
    <w:rPr>
      <w:rFonts w:ascii="Arial" w:hAnsi="Arial" w:eastAsia="Arial Unicode MS" w:cs="Arial"/>
      <w:b/>
      <w:bCs/>
      <w:spacing w:val="0"/>
      <w:sz w:val="15"/>
      <w:szCs w:val="15"/>
      <w:lang w:val="ru-RU" w:eastAsia="ru-RU" w:bidi="ar-SA"/>
    </w:rPr>
  </w:style>
  <w:style w:type="character" w:customStyle="1" w:styleId="68">
    <w:name w:val="Body text + Bold10"/>
    <w:uiPriority w:val="0"/>
    <w:rPr>
      <w:rFonts w:ascii="Arial" w:hAnsi="Arial" w:eastAsia="Arial Unicode MS" w:cs="Arial"/>
      <w:b/>
      <w:bCs/>
      <w:spacing w:val="0"/>
      <w:sz w:val="15"/>
      <w:szCs w:val="15"/>
      <w:lang w:val="ru-RU" w:eastAsia="ru-RU" w:bidi="ar-SA"/>
    </w:rPr>
  </w:style>
  <w:style w:type="character" w:customStyle="1" w:styleId="69">
    <w:name w:val="Стандартный HTML Знак"/>
    <w:basedOn w:val="19"/>
    <w:link w:val="18"/>
    <w:uiPriority w:val="99"/>
    <w:rPr>
      <w:rFonts w:ascii="Courier New" w:hAnsi="Courier New" w:eastAsia="Times New Roman" w:cs="Times New Roman"/>
      <w:sz w:val="20"/>
      <w:szCs w:val="20"/>
      <w:lang w:val="zh-CN" w:eastAsia="zh-CN"/>
    </w:rPr>
  </w:style>
  <w:style w:type="table" w:customStyle="1" w:styleId="70">
    <w:name w:val="Сетка таблицы1"/>
    <w:basedOn w:val="22"/>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ZavRaiAdm</Company>
  <Pages>76</Pages>
  <Words>27513</Words>
  <Characters>156828</Characters>
  <Lines>1306</Lines>
  <Paragraphs>367</Paragraphs>
  <TotalTime>0</TotalTime>
  <ScaleCrop>false</ScaleCrop>
  <LinksUpToDate>false</LinksUpToDate>
  <CharactersWithSpaces>183974</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2017-12-15T10:23:00Z</dcterms:created>
  <dc:creator>Big_Arxi</dc:creator>
  <cp:lastModifiedBy>FirstUser</cp:lastModifiedBy>
  <cp:lastPrinted>2017-12-27T11:40:44Z</cp:lastPrinted>
  <dcterms:modified xsi:type="dcterms:W3CDTF">2017-12-27T11:41:15Z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1049-10.2.0.5871</vt:lpwstr>
  </property>
</Properties>
</file>